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7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6" w:hRule="atLeast"/>
          <w:jc w:val="center"/>
        </w:trPr>
        <w:tc>
          <w:tcPr>
            <w:tcW w:w="5000" w:type="pct"/>
          </w:tcPr>
          <w:p>
            <w:pPr>
              <w:pStyle w:val="4"/>
              <w:snapToGrid w:val="0"/>
              <w:spacing w:line="360" w:lineRule="auto"/>
              <w:ind w:firstLine="560" w:firstLineChars="200"/>
              <w:jc w:val="both"/>
              <w:rPr>
                <w:rFonts w:ascii="仿宋_GB2312" w:hAnsi="仿宋_GB2312" w:eastAsia="仿宋_GB2312" w:cs="仿宋_GB2312"/>
                <w:sz w:val="28"/>
                <w:szCs w:val="28"/>
              </w:rPr>
            </w:pPr>
          </w:p>
          <w:p>
            <w:pPr>
              <w:pStyle w:val="4"/>
              <w:snapToGrid w:val="0"/>
              <w:spacing w:line="360" w:lineRule="auto"/>
              <w:ind w:firstLine="560" w:firstLineChars="200"/>
              <w:jc w:val="both"/>
              <w:rPr>
                <w:rFonts w:ascii="仿宋_GB2312" w:hAnsi="仿宋_GB2312" w:eastAsia="仿宋_GB2312" w:cs="仿宋_GB2312"/>
                <w:sz w:val="28"/>
                <w:szCs w:val="2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学前教育（专升本）专业考试计划</w:t>
            </w:r>
          </w:p>
          <w:p>
            <w:pPr>
              <w:snapToGrid w:val="0"/>
              <w:spacing w:line="360" w:lineRule="auto"/>
              <w:ind w:firstLine="560" w:firstLineChars="200"/>
              <w:rPr>
                <w:rFonts w:ascii="仿宋_GB2312" w:hAnsi="仿宋_GB2312" w:eastAsia="仿宋_GB2312" w:cs="仿宋_GB2312"/>
                <w:sz w:val="28"/>
                <w:szCs w:val="28"/>
              </w:rPr>
            </w:pPr>
          </w:p>
          <w:p>
            <w:pPr>
              <w:pStyle w:val="4"/>
              <w:snapToGrid w:val="0"/>
              <w:spacing w:line="360" w:lineRule="auto"/>
              <w:ind w:firstLine="560" w:firstLineChars="200"/>
              <w:jc w:val="both"/>
              <w:rPr>
                <w:rFonts w:ascii="仿宋_GB2312" w:hAnsi="仿宋_GB2312" w:eastAsia="仿宋_GB2312" w:cs="仿宋_GB2312"/>
                <w:sz w:val="28"/>
                <w:szCs w:val="28"/>
              </w:rPr>
            </w:pPr>
          </w:p>
          <w:p>
            <w:pPr>
              <w:pStyle w:val="4"/>
              <w:snapToGrid w:val="0"/>
              <w:spacing w:line="360" w:lineRule="auto"/>
              <w:ind w:firstLine="560" w:firstLineChars="200"/>
              <w:jc w:val="both"/>
              <w:rPr>
                <w:rFonts w:ascii="仿宋_GB2312" w:hAnsi="仿宋_GB2312" w:eastAsia="仿宋_GB2312" w:cs="仿宋_GB2312"/>
                <w:sz w:val="28"/>
                <w:szCs w:val="28"/>
              </w:rPr>
            </w:pPr>
          </w:p>
          <w:p>
            <w:pPr>
              <w:pStyle w:val="4"/>
              <w:snapToGrid w:val="0"/>
              <w:spacing w:line="360" w:lineRule="auto"/>
              <w:ind w:firstLine="560" w:firstLineChars="200"/>
              <w:jc w:val="both"/>
              <w:rPr>
                <w:rFonts w:ascii="仿宋_GB2312" w:hAnsi="仿宋_GB2312" w:eastAsia="仿宋_GB2312" w:cs="仿宋_GB2312"/>
                <w:sz w:val="28"/>
                <w:szCs w:val="28"/>
              </w:rPr>
            </w:pPr>
          </w:p>
          <w:p>
            <w:pPr>
              <w:pStyle w:val="4"/>
              <w:snapToGrid w:val="0"/>
              <w:spacing w:line="360" w:lineRule="auto"/>
              <w:ind w:firstLine="560" w:firstLineChars="200"/>
              <w:jc w:val="both"/>
              <w:rPr>
                <w:rFonts w:ascii="仿宋_GB2312" w:hAnsi="仿宋_GB2312" w:eastAsia="仿宋_GB2312" w:cs="仿宋_GB2312"/>
                <w:sz w:val="28"/>
                <w:szCs w:val="28"/>
              </w:rPr>
            </w:pPr>
          </w:p>
          <w:p>
            <w:pPr>
              <w:pStyle w:val="4"/>
              <w:snapToGrid w:val="0"/>
              <w:spacing w:line="360" w:lineRule="auto"/>
              <w:ind w:firstLine="560" w:firstLineChars="200"/>
              <w:jc w:val="both"/>
              <w:rPr>
                <w:rFonts w:ascii="仿宋_GB2312" w:hAnsi="仿宋_GB2312" w:eastAsia="仿宋_GB2312" w:cs="仿宋_GB2312"/>
                <w:sz w:val="28"/>
                <w:szCs w:val="28"/>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主考学校：四川师范大学</w:t>
            </w:r>
          </w:p>
          <w:p>
            <w:pPr>
              <w:pStyle w:val="4"/>
              <w:snapToGrid w:val="0"/>
              <w:spacing w:line="360" w:lineRule="auto"/>
              <w:ind w:firstLine="560" w:firstLineChars="200"/>
              <w:jc w:val="both"/>
              <w:rPr>
                <w:rFonts w:ascii="仿宋_GB2312" w:hAnsi="仿宋_GB2312" w:eastAsia="仿宋_GB2312" w:cs="仿宋_GB2312"/>
                <w:sz w:val="28"/>
                <w:szCs w:val="28"/>
              </w:rPr>
            </w:pPr>
          </w:p>
          <w:p>
            <w:pPr>
              <w:pStyle w:val="4"/>
              <w:snapToGrid w:val="0"/>
              <w:spacing w:line="360" w:lineRule="auto"/>
              <w:ind w:firstLine="560" w:firstLineChars="200"/>
              <w:jc w:val="both"/>
              <w:rPr>
                <w:rFonts w:ascii="仿宋_GB2312" w:hAnsi="仿宋_GB2312" w:eastAsia="仿宋_GB2312" w:cs="仿宋_GB2312"/>
                <w:sz w:val="28"/>
                <w:szCs w:val="28"/>
              </w:rPr>
            </w:pPr>
          </w:p>
          <w:p>
            <w:pPr>
              <w:pStyle w:val="4"/>
              <w:snapToGrid w:val="0"/>
              <w:spacing w:line="360" w:lineRule="auto"/>
              <w:ind w:firstLine="560" w:firstLineChars="200"/>
              <w:jc w:val="both"/>
              <w:rPr>
                <w:rFonts w:ascii="仿宋_GB2312" w:hAnsi="仿宋_GB2312" w:eastAsia="仿宋_GB2312" w:cs="仿宋_GB2312"/>
                <w:sz w:val="28"/>
                <w:szCs w:val="28"/>
              </w:rPr>
            </w:pPr>
          </w:p>
          <w:p>
            <w:pPr>
              <w:pStyle w:val="4"/>
              <w:snapToGrid w:val="0"/>
              <w:spacing w:line="360" w:lineRule="auto"/>
              <w:ind w:firstLine="560" w:firstLineChars="200"/>
              <w:jc w:val="both"/>
              <w:rPr>
                <w:rFonts w:ascii="仿宋_GB2312" w:hAnsi="仿宋_GB2312" w:eastAsia="仿宋_GB2312" w:cs="仿宋_GB2312"/>
                <w:sz w:val="28"/>
                <w:szCs w:val="28"/>
              </w:rPr>
            </w:pPr>
          </w:p>
          <w:p>
            <w:pPr>
              <w:pStyle w:val="3"/>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snapToGrid w:val="0"/>
              <w:spacing w:line="360" w:lineRule="auto"/>
              <w:ind w:firstLine="562" w:firstLineChars="200"/>
              <w:jc w:val="both"/>
              <w:rPr>
                <w:rFonts w:ascii="仿宋_GB2312" w:hAnsi="仿宋_GB2312" w:eastAsia="仿宋_GB2312" w:cs="仿宋_GB2312"/>
                <w:b/>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1" w:hRule="atLeast"/>
          <w:jc w:val="center"/>
        </w:trPr>
        <w:tc>
          <w:tcPr>
            <w:tcW w:w="5000" w:type="pct"/>
          </w:tcPr>
          <w:p>
            <w:pPr>
              <w:snapToGrid w:val="0"/>
              <w:spacing w:line="360" w:lineRule="auto"/>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一、指导思想</w:t>
            </w:r>
          </w:p>
          <w:p>
            <w:pPr>
              <w:snapToGrid w:val="0"/>
              <w:spacing w:line="360" w:lineRule="auto"/>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adjustRightInd w:val="0"/>
              <w:snapToGrid w:val="0"/>
              <w:spacing w:line="360" w:lineRule="auto"/>
              <w:ind w:firstLine="560" w:firstLineChars="200"/>
              <w:jc w:val="both"/>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高等教育自学考试学前教育（专升本）专业的学历层次为本科，学科门类为教育类，专业类别为教育学类。</w:t>
            </w:r>
          </w:p>
          <w:p>
            <w:pPr>
              <w:adjustRightInd w:val="0"/>
              <w:snapToGrid w:val="0"/>
              <w:spacing w:line="360" w:lineRule="auto"/>
              <w:ind w:firstLine="560" w:firstLineChars="200"/>
              <w:jc w:val="both"/>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本专业考试计划规定合格课程门数</w:t>
            </w:r>
            <w:r>
              <w:rPr>
                <w:rFonts w:ascii="仿宋_GB2312" w:hAnsi="仿宋_GB2312" w:eastAsia="仿宋_GB2312" w:cs="仿宋_GB2312"/>
                <w:color w:val="000000"/>
                <w:sz w:val="28"/>
                <w:szCs w:val="28"/>
                <w:lang w:val="en-US"/>
              </w:rPr>
              <w:t>13</w:t>
            </w:r>
            <w:r>
              <w:rPr>
                <w:rFonts w:hint="eastAsia" w:ascii="仿宋_GB2312" w:hAnsi="仿宋_GB2312" w:eastAsia="仿宋_GB2312" w:cs="仿宋_GB2312"/>
                <w:color w:val="000000"/>
                <w:sz w:val="28"/>
                <w:szCs w:val="28"/>
                <w:lang w:val="en-US"/>
              </w:rPr>
              <w:t>门（其中考试课程相关的实践考核环节部分不单独计入课程总门数）</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总学分</w:t>
            </w:r>
            <w:r>
              <w:rPr>
                <w:rFonts w:ascii="仿宋_GB2312" w:hAnsi="仿宋_GB2312" w:eastAsia="仿宋_GB2312" w:cs="仿宋_GB2312"/>
                <w:color w:val="000000"/>
                <w:sz w:val="28"/>
                <w:szCs w:val="28"/>
                <w:lang w:val="en-US"/>
              </w:rPr>
              <w:t>70</w:t>
            </w:r>
            <w:r>
              <w:rPr>
                <w:rFonts w:hint="eastAsia" w:ascii="仿宋_GB2312" w:hAnsi="仿宋_GB2312" w:eastAsia="仿宋_GB2312" w:cs="仿宋_GB2312"/>
                <w:color w:val="000000"/>
                <w:sz w:val="28"/>
                <w:szCs w:val="28"/>
                <w:lang w:val="en-US"/>
              </w:rPr>
              <w:t>学分。</w:t>
            </w:r>
          </w:p>
          <w:p>
            <w:pPr>
              <w:adjustRightInd w:val="0"/>
              <w:snapToGrid w:val="0"/>
              <w:spacing w:line="360" w:lineRule="auto"/>
              <w:ind w:firstLine="560" w:firstLineChars="200"/>
              <w:jc w:val="both"/>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color w:val="000000"/>
                <w:sz w:val="28"/>
                <w:szCs w:val="28"/>
                <w:lang w:val="en-US" w:eastAsia="zh-CN"/>
              </w:rPr>
              <w:t>考试委员会</w:t>
            </w:r>
            <w:r>
              <w:rPr>
                <w:rFonts w:hint="eastAsia" w:ascii="仿宋_GB2312" w:hAnsi="仿宋_GB2312" w:eastAsia="仿宋_GB2312" w:cs="仿宋_GB2312"/>
                <w:color w:val="000000"/>
                <w:sz w:val="28"/>
                <w:szCs w:val="28"/>
                <w:lang w:val="en-US"/>
              </w:rPr>
              <w:t>颁发学前教育（专升本）专业毕业证书，主考学校副署，国家承认学历。符合高等学历继续教育学士学位授予条件者，由主考学校按规定授予学士学位。</w:t>
            </w:r>
          </w:p>
          <w:p>
            <w:pPr>
              <w:snapToGrid w:val="0"/>
              <w:spacing w:line="360" w:lineRule="auto"/>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adjustRightInd w:val="0"/>
              <w:snapToGrid w:val="0"/>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rPr>
              <w:t>培养目标：</w:t>
            </w:r>
            <w:r>
              <w:rPr>
                <w:rFonts w:hint="eastAsia" w:ascii="仿宋_GB2312" w:hAnsi="仿宋_GB2312" w:eastAsia="仿宋_GB2312" w:cs="仿宋_GB2312"/>
                <w:sz w:val="28"/>
                <w:szCs w:val="28"/>
              </w:rPr>
              <w:t>本专业培养理想信念坚定，德、智、体、美、劳全面发展，具有较高的科学文化素养、职业道德水准、创新创业能力和社会责任感，具有良好的师德规范和高尚的教育情怀，系统掌握学前儿童保育与教育知识，具备较强的学前儿童保育与教育实践能力，具有终身学习意愿，善于沟通与合作，能适应学前教育事业发展与改革需要，能够在学前教育机构及其他相关机构从事保教、科研和管理等方面工作的应用型人才。</w:t>
            </w:r>
          </w:p>
          <w:p>
            <w:pPr>
              <w:snapToGrid w:val="0"/>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bCs/>
                <w:sz w:val="28"/>
                <w:szCs w:val="28"/>
              </w:rPr>
              <w:t>培养要求：</w:t>
            </w:r>
            <w:r>
              <w:rPr>
                <w:rFonts w:hint="eastAsia" w:ascii="仿宋_GB2312" w:hAnsi="仿宋_GB2312" w:eastAsia="仿宋_GB2312" w:cs="仿宋_GB2312"/>
                <w:sz w:val="28"/>
                <w:szCs w:val="28"/>
              </w:rPr>
              <w:t>本专业要求全面掌握学前儿童保育与教育知识，具备在学前教育机构及其他相关机构从事保教、科研和管理等方面工作的专业能力和专业素养。主要包括：</w:t>
            </w:r>
          </w:p>
          <w:p>
            <w:pPr>
              <w:adjustRightInd w:val="0"/>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践行师德。践行社会主义核心价值观，贯彻党的教育方针，遵守教师职业道德规范，立志成为有理想信念、有道德情操、有扎实学识、有仁爱之心的好老师；认同教师工作的意义和专业性，具有积极的情感、端正的态度、正确的价值观，树立科学的儿童观，做幼儿健康成长的启蒙者和引路人。</w:t>
            </w:r>
          </w:p>
          <w:p>
            <w:pPr>
              <w:adjustRightInd w:val="0"/>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学会保教。具有一定的科学和人文素养，理解幼儿身心发展规律和学习特点，了解相关学科基本知识，掌握幼儿园教育教学的目标、任务、内容、基本要求，掌握开展幼儿园教育教学的基本方法和策略，注重知识的联系与整合；能够科学规划幼儿在园一日活动，创设适宜幼儿学习与发展的环境，合理组织幼儿园的教学、游戏和生活活动，具有观察幼儿、与幼儿谈话并能记录与分析的能力，具有幼儿园活动评价能力。</w:t>
            </w:r>
          </w:p>
          <w:p>
            <w:pPr>
              <w:adjustRightInd w:val="0"/>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学会育人。熟悉幼儿园班级的特点，掌握幼儿园班级管理的内容和要求，能够建立班级秩序与规则，创设良好班级环境，营造积极的班级氛围；为人师表，发挥自身的榜样作用；熟悉幼儿社会性情感发展的特点和规律，注重培育幼儿良好的意志品质和行为习惯，理解环境的育人价值，充分利用多种教育契机，综合利用幼儿园、家庭和社区各种资源全面育人。</w:t>
            </w:r>
          </w:p>
          <w:p>
            <w:pPr>
              <w:adjustRightInd w:val="0"/>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学会发展。具有自主学习与终身学习的意识；了解国内外学前教育改革发展动态，能够适应时代和教育发展需求，进行学习和职业生涯规划；具有一定创新意识，尝试运用批判性思维方法分析和解决问题；有团队协作精神，具备沟通与合作能力。</w:t>
            </w:r>
          </w:p>
          <w:p>
            <w:pPr>
              <w:snapToGrid w:val="0"/>
              <w:spacing w:line="360" w:lineRule="auto"/>
              <w:ind w:firstLine="560" w:firstLineChars="200"/>
              <w:jc w:val="both"/>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8" w:hRule="atLeast"/>
          <w:jc w:val="center"/>
        </w:trPr>
        <w:tc>
          <w:tcPr>
            <w:tcW w:w="5000" w:type="pct"/>
          </w:tcPr>
          <w:p>
            <w:pPr>
              <w:snapToGrid w:val="0"/>
              <w:spacing w:line="360" w:lineRule="auto"/>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2" w:firstLineChars="200"/>
              <w:jc w:val="both"/>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sz w:val="28"/>
                <w:szCs w:val="28"/>
              </w:rPr>
              <w:t>040106</w:t>
            </w:r>
          </w:p>
          <w:tbl>
            <w:tblPr>
              <w:tblStyle w:val="5"/>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1"/>
              <w:gridCol w:w="733"/>
              <w:gridCol w:w="982"/>
              <w:gridCol w:w="3184"/>
              <w:gridCol w:w="780"/>
              <w:gridCol w:w="950"/>
              <w:gridCol w:w="10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811"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课程类别</w:t>
                  </w:r>
                </w:p>
              </w:tc>
              <w:tc>
                <w:tcPr>
                  <w:tcW w:w="733"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982"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课码</w:t>
                  </w:r>
                </w:p>
              </w:tc>
              <w:tc>
                <w:tcPr>
                  <w:tcW w:w="318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78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学分</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考试</w:t>
                  </w:r>
                </w:p>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方式</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公共基础课</w:t>
                  </w:r>
                </w:p>
              </w:tc>
              <w:tc>
                <w:tcPr>
                  <w:tcW w:w="733"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982"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318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中国近现代史纲要</w:t>
                  </w:r>
                </w:p>
              </w:tc>
              <w:tc>
                <w:tcPr>
                  <w:tcW w:w="78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982"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318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马克思主义基本原理概论</w:t>
                  </w:r>
                </w:p>
              </w:tc>
              <w:tc>
                <w:tcPr>
                  <w:tcW w:w="78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b/>
                      <w:bCs/>
                      <w:sz w:val="24"/>
                      <w:szCs w:val="24"/>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982"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13000</w:t>
                  </w:r>
                </w:p>
              </w:tc>
              <w:tc>
                <w:tcPr>
                  <w:tcW w:w="318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英语（专升本）</w:t>
                  </w:r>
                </w:p>
              </w:tc>
              <w:tc>
                <w:tcPr>
                  <w:tcW w:w="78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7</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b/>
                      <w:bCs/>
                      <w:sz w:val="24"/>
                      <w:szCs w:val="24"/>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专</w:t>
                  </w:r>
                </w:p>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业</w:t>
                  </w:r>
                </w:p>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核</w:t>
                  </w:r>
                </w:p>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心</w:t>
                  </w:r>
                </w:p>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课</w:t>
                  </w:r>
                </w:p>
              </w:tc>
              <w:tc>
                <w:tcPr>
                  <w:tcW w:w="733"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00398</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hint="eastAsia" w:ascii="仿宋_GB2312" w:hAnsi="仿宋_GB2312" w:eastAsia="仿宋_GB2312" w:cs="仿宋_GB2312"/>
                      <w:sz w:val="24"/>
                      <w:szCs w:val="24"/>
                    </w:rPr>
                    <w:t>学前教育原理</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6</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00882</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hint="eastAsia" w:ascii="仿宋_GB2312" w:hAnsi="仿宋_GB2312" w:eastAsia="仿宋_GB2312" w:cs="仿宋_GB2312"/>
                      <w:sz w:val="24"/>
                      <w:szCs w:val="24"/>
                    </w:rPr>
                    <w:t>学前教育心理学</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6</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6</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13147</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hint="eastAsia" w:ascii="仿宋_GB2312" w:hAnsi="仿宋_GB2312" w:eastAsia="仿宋_GB2312" w:cs="仿宋_GB2312"/>
                      <w:sz w:val="24"/>
                      <w:szCs w:val="24"/>
                    </w:rPr>
                    <w:t>幼儿园组织与管理</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5</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13148</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hint="eastAsia" w:ascii="仿宋_GB2312" w:hAnsi="仿宋_GB2312" w:eastAsia="仿宋_GB2312" w:cs="仿宋_GB2312"/>
                      <w:sz w:val="24"/>
                      <w:szCs w:val="24"/>
                    </w:rPr>
                    <w:t>幼儿园组织与管理（实践）</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1</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7</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13213</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hint="eastAsia" w:ascii="仿宋_GB2312" w:hAnsi="仿宋_GB2312" w:eastAsia="仿宋_GB2312" w:cs="仿宋_GB2312"/>
                      <w:sz w:val="24"/>
                      <w:szCs w:val="24"/>
                    </w:rPr>
                    <w:t>学前教育研究方法</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5</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p>
              </w:tc>
              <w:tc>
                <w:tcPr>
                  <w:tcW w:w="733"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13214</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hint="eastAsia" w:ascii="仿宋_GB2312" w:hAnsi="仿宋_GB2312" w:eastAsia="仿宋_GB2312" w:cs="仿宋_GB2312"/>
                      <w:sz w:val="24"/>
                      <w:szCs w:val="24"/>
                    </w:rPr>
                    <w:t>学前教育研究方法（实践）</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1</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实践</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8</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lang w:val="en-US"/>
                    </w:rPr>
                    <w:t>14605</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hint="eastAsia" w:ascii="仿宋_GB2312" w:hAnsi="仿宋_GB2312" w:eastAsia="仿宋_GB2312" w:cs="仿宋_GB2312"/>
                      <w:sz w:val="24"/>
                      <w:szCs w:val="24"/>
                      <w:lang w:val="en-US"/>
                    </w:rPr>
                    <w:t>幼儿园课程与教学</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rPr>
                    <w:t>4</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14606</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幼儿园课程与教学（实践）</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2</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专</w:t>
                  </w:r>
                </w:p>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业</w:t>
                  </w:r>
                </w:p>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拓</w:t>
                  </w:r>
                </w:p>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展</w:t>
                  </w:r>
                </w:p>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课</w:t>
                  </w:r>
                </w:p>
              </w:tc>
              <w:tc>
                <w:tcPr>
                  <w:tcW w:w="733"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9</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lang w:val="en-US"/>
                    </w:rPr>
                    <w:t>14603</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hint="eastAsia" w:ascii="仿宋_GB2312" w:hAnsi="仿宋_GB2312" w:eastAsia="仿宋_GB2312" w:cs="仿宋_GB2312"/>
                      <w:sz w:val="24"/>
                      <w:szCs w:val="24"/>
                      <w:lang w:val="en-US"/>
                    </w:rPr>
                    <w:t>幼儿游戏理论与指导</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rPr>
                    <w:t>3</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14604</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幼儿游戏理论与指导（实践）</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1</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p>
              </w:tc>
              <w:tc>
                <w:tcPr>
                  <w:tcW w:w="73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10</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03673</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学前艺术教育</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95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03672</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学前健康教育</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95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1</w:t>
                  </w:r>
                  <w:r>
                    <w:rPr>
                      <w:rFonts w:ascii="仿宋_GB2312" w:hAnsi="仿宋_GB2312" w:eastAsia="仿宋_GB2312" w:cs="仿宋_GB2312"/>
                      <w:sz w:val="24"/>
                      <w:szCs w:val="24"/>
                      <w:lang w:val="en-US"/>
                    </w:rPr>
                    <w:t>2</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08761</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中外学前教育史</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8</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c>
                <w:tcPr>
                  <w:tcW w:w="733"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1</w:t>
                  </w:r>
                  <w:r>
                    <w:rPr>
                      <w:rFonts w:ascii="仿宋_GB2312" w:hAnsi="仿宋_GB2312" w:eastAsia="仿宋_GB2312" w:cs="仿宋_GB2312"/>
                      <w:sz w:val="24"/>
                      <w:szCs w:val="24"/>
                      <w:lang w:val="en-US"/>
                    </w:rPr>
                    <w:t>3</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rPr>
                    <w:t>14494</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hint="eastAsia" w:ascii="仿宋_GB2312" w:hAnsi="仿宋_GB2312" w:eastAsia="仿宋_GB2312" w:cs="仿宋_GB2312"/>
                      <w:sz w:val="24"/>
                      <w:szCs w:val="24"/>
                    </w:rPr>
                    <w:t>学前儿童家庭与社区教育</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4</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p>
              </w:tc>
              <w:tc>
                <w:tcPr>
                  <w:tcW w:w="73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14</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ascii="仿宋_GB2312" w:hAnsi="仿宋_GB2312" w:eastAsia="仿宋_GB2312" w:cs="仿宋_GB2312"/>
                      <w:sz w:val="24"/>
                      <w:szCs w:val="24"/>
                      <w:lang w:val="en-US"/>
                    </w:rPr>
                    <w:t>00883</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kern w:val="2"/>
                      <w:sz w:val="24"/>
                      <w:szCs w:val="24"/>
                      <w:lang w:val="en-US"/>
                    </w:rPr>
                  </w:pPr>
                  <w:r>
                    <w:rPr>
                      <w:rFonts w:hint="eastAsia" w:ascii="仿宋_GB2312" w:hAnsi="仿宋_GB2312" w:eastAsia="仿宋_GB2312" w:cs="仿宋_GB2312"/>
                      <w:sz w:val="24"/>
                      <w:szCs w:val="24"/>
                    </w:rPr>
                    <w:t>学前儿童特殊教育</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rPr>
                    <w:t>4</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64"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免考英语</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en-US"/>
                    </w:rPr>
                    <w:t>专升本</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en-US"/>
                    </w:rPr>
                    <w:t>替换课程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p>
              </w:tc>
              <w:tc>
                <w:tcPr>
                  <w:tcW w:w="733"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15</w:t>
                  </w:r>
                </w:p>
              </w:tc>
              <w:tc>
                <w:tcPr>
                  <w:tcW w:w="98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kern w:val="2"/>
                      <w:sz w:val="24"/>
                      <w:szCs w:val="24"/>
                    </w:rPr>
                    <w:t>14600</w:t>
                  </w:r>
                </w:p>
              </w:tc>
              <w:tc>
                <w:tcPr>
                  <w:tcW w:w="3184"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kern w:val="2"/>
                      <w:sz w:val="24"/>
                      <w:szCs w:val="24"/>
                      <w:lang w:val="en-US"/>
                    </w:rPr>
                    <w:t>幼儿教育名著导读</w:t>
                  </w:r>
                </w:p>
              </w:tc>
              <w:tc>
                <w:tcPr>
                  <w:tcW w:w="78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仿宋_GB2312" w:hAnsi="仿宋_GB2312" w:eastAsia="仿宋_GB2312" w:cs="仿宋_GB2312"/>
                      <w:sz w:val="24"/>
                      <w:szCs w:val="24"/>
                    </w:rPr>
                  </w:pPr>
                  <w:r>
                    <w:rPr>
                      <w:rFonts w:ascii="仿宋_GB2312" w:hAnsi="仿宋_GB2312" w:eastAsia="仿宋_GB2312" w:cs="仿宋_GB2312"/>
                      <w:sz w:val="24"/>
                      <w:szCs w:val="24"/>
                      <w:lang w:val="en-US"/>
                    </w:rPr>
                    <w:t>3</w:t>
                  </w: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064"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1"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p>
              </w:tc>
              <w:tc>
                <w:tcPr>
                  <w:tcW w:w="733"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16</w:t>
                  </w:r>
                </w:p>
              </w:tc>
              <w:tc>
                <w:tcPr>
                  <w:tcW w:w="982"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00000</w:t>
                  </w:r>
                </w:p>
              </w:tc>
              <w:tc>
                <w:tcPr>
                  <w:tcW w:w="318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毕业考核（或论文</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综合实践</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实验</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实习等）</w:t>
                  </w:r>
                </w:p>
              </w:tc>
              <w:tc>
                <w:tcPr>
                  <w:tcW w:w="78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p>
              </w:tc>
              <w:tc>
                <w:tcPr>
                  <w:tcW w:w="950"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lang w:val="en-US"/>
                    </w:rPr>
                  </w:pPr>
                </w:p>
              </w:tc>
              <w:tc>
                <w:tcPr>
                  <w:tcW w:w="1064" w:type="dxa"/>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5710" w:type="dxa"/>
                  <w:gridSpan w:val="4"/>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jc w:val="center"/>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总学分</w:t>
                  </w:r>
                </w:p>
              </w:tc>
              <w:tc>
                <w:tcPr>
                  <w:tcW w:w="2794" w:type="dxa"/>
                  <w:gridSpan w:val="3"/>
                  <w:tcBorders>
                    <w:top w:val="single" w:color="auto" w:sz="6" w:space="0"/>
                    <w:left w:val="single" w:color="auto" w:sz="6" w:space="0"/>
                    <w:bottom w:val="single" w:color="auto" w:sz="6" w:space="0"/>
                    <w:right w:val="single" w:color="auto" w:sz="6" w:space="0"/>
                  </w:tcBorders>
                  <w:vAlign w:val="center"/>
                </w:tcPr>
                <w:p>
                  <w:pPr>
                    <w:widowControl/>
                    <w:snapToGrid w:val="0"/>
                    <w:spacing w:line="360"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70</w:t>
                  </w:r>
                </w:p>
              </w:tc>
            </w:tr>
          </w:tbl>
          <w:p>
            <w:pPr>
              <w:snapToGrid w:val="0"/>
              <w:spacing w:line="360" w:lineRule="auto"/>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幼儿园课程与教学</w:t>
            </w:r>
          </w:p>
          <w:p>
            <w:pPr>
              <w:snapToGrid w:val="0"/>
              <w:spacing w:line="360" w:lineRule="auto"/>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为幼儿园课程与教学的含义、幼儿园课程编制、幼儿园课程资源开发、国内外经典幼儿园课程方案、幼儿园教学计划的制定、幼儿园教学活动设计与指导、幼儿园教学的方法与指导策略以及幼儿园课程与教学改革。通过课程教学，使学生了解课程定义维度和类型，理解幼儿园课程的特征与要素，了解幼儿园课程的心理学、哲学、教育学基础对幼儿园课程的影响，了解和掌握游戏、教学和日常活动的设计，促进学生专业能力的养成。</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幼儿游戏理论与指导</w:t>
            </w:r>
          </w:p>
          <w:p>
            <w:pPr>
              <w:snapToGrid w:val="0"/>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本课程</w:t>
            </w:r>
            <w:r>
              <w:rPr>
                <w:rFonts w:hint="eastAsia" w:ascii="仿宋_GB2312" w:hAnsi="仿宋_GB2312" w:eastAsia="仿宋_GB2312" w:cs="仿宋_GB2312"/>
                <w:sz w:val="28"/>
                <w:szCs w:val="28"/>
              </w:rPr>
              <w:t>从教育的观点出发，专门研究学前儿童的游戏现象，揭示其发展规律，探讨其价值和教育实施及指导，旨在帮助学生全面理解与掌握学前儿童游戏的基本理论、基本知识，掌握设计与组织幼儿园游戏活动的基本技能，确立科学的游戏观、儿童观、教育观，为从事幼儿教育工作奠定基础。</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rPr>
              <w:t>学前艺术教育</w:t>
            </w:r>
          </w:p>
          <w:p>
            <w:pPr>
              <w:snapToGrid w:val="0"/>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本</w:t>
            </w:r>
            <w:r>
              <w:rPr>
                <w:rFonts w:hint="eastAsia" w:ascii="仿宋_GB2312" w:hAnsi="仿宋_GB2312" w:eastAsia="仿宋_GB2312" w:cs="仿宋_GB2312"/>
                <w:sz w:val="28"/>
                <w:szCs w:val="28"/>
              </w:rPr>
              <w:t>课程</w:t>
            </w:r>
            <w:r>
              <w:rPr>
                <w:rFonts w:hint="eastAsia" w:ascii="仿宋_GB2312" w:hAnsi="仿宋_GB2312" w:eastAsia="仿宋_GB2312" w:cs="仿宋_GB2312"/>
                <w:sz w:val="28"/>
                <w:szCs w:val="28"/>
                <w:lang w:val="en-US"/>
              </w:rPr>
              <w:t>旨在培养学生</w:t>
            </w:r>
            <w:r>
              <w:rPr>
                <w:rFonts w:hint="eastAsia" w:ascii="仿宋_GB2312" w:hAnsi="仿宋_GB2312" w:eastAsia="仿宋_GB2312" w:cs="仿宋_GB2312"/>
                <w:sz w:val="28"/>
                <w:szCs w:val="28"/>
              </w:rPr>
              <w:t>如何对学前儿童实施艺术教育，要求学生能够综合运用所学的课程理论，对课程领域的实践问题进行全面而深入的分析，得出正确的结论，并能将所学的理论综合应用于实践，设计出完整且符合学前儿童年龄特点的音乐、美术和戏剧等各类课程活动</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rPr>
              <w:t>学前健康教育</w:t>
            </w:r>
          </w:p>
          <w:p>
            <w:pPr>
              <w:snapToGrid w:val="0"/>
              <w:spacing w:line="360" w:lineRule="auto"/>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本课程旨在让学生</w:t>
            </w:r>
            <w:r>
              <w:rPr>
                <w:rFonts w:hint="eastAsia" w:ascii="仿宋_GB2312" w:hAnsi="仿宋_GB2312" w:eastAsia="仿宋_GB2312" w:cs="仿宋_GB2312"/>
                <w:color w:val="333333"/>
                <w:sz w:val="28"/>
                <w:szCs w:val="28"/>
                <w:shd w:val="clear" w:color="auto" w:fill="FFFFFF"/>
              </w:rPr>
              <w:t>确立科学的健康观念和正确的健康教育观念，认识到健康教育对于学前儿童身体等发展的重要性</w:t>
            </w:r>
            <w:r>
              <w:rPr>
                <w:rFonts w:hint="eastAsia" w:ascii="仿宋_GB2312" w:hAnsi="仿宋_GB2312" w:eastAsia="仿宋_GB2312" w:cs="仿宋_GB2312"/>
                <w:sz w:val="28"/>
                <w:szCs w:val="28"/>
                <w:lang w:val="en-US"/>
              </w:rPr>
              <w:t>，要求学生能够识记和理解学前儿童健康教育的主要概念、理论和观点</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增进对学前儿童健康教育的认识，能够运用学前儿童健康教育的基本理论和一般规律去分析和解决各种幼儿园中与儿童健康有关的实际问题。</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rPr>
              <w:t>学前儿童家庭与社区教育</w:t>
            </w:r>
          </w:p>
          <w:p>
            <w:pPr>
              <w:snapToGrid w:val="0"/>
              <w:spacing w:line="360" w:lineRule="auto"/>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本课程研究出生至</w:t>
            </w: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岁儿童家庭教育活动以及家庭、社区和幼儿园对儿童的合作共育，揭示学前儿童家庭教育规律、研究社区资源开发的策略，以提高学前儿童家庭教育质量。目的是让学生深刻理解学前儿童家庭教育的基本规律和特征，掌握托儿所、幼儿园家长工作和社区资源开发的基本知识和技能，以便在学前教育实践中能充分发挥家长和社区的教育作用。</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rPr>
              <w:t>中外学前教育史</w:t>
            </w:r>
          </w:p>
          <w:p>
            <w:pPr>
              <w:snapToGrid w:val="0"/>
              <w:spacing w:line="360" w:lineRule="auto"/>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课程主要内容为中国和外国学前教育发展的概况、重要事件和学前教育发展历程所揭示的规律；中国幼儿园师资、儿童游戏、育儿民俗和外国学前儿童课程的发展脉络及特点；有影响力的儿童教育家们的成长史和教育实践及相应的儿童教育理论。通过课程学习，使学生了解中外学前教育实践和制度的发生、发展的历史，掌握著名教育家的学前教育思想。</w:t>
            </w:r>
          </w:p>
          <w:p>
            <w:pPr>
              <w:snapToGrid w:val="0"/>
              <w:spacing w:line="360" w:lineRule="auto"/>
              <w:ind w:firstLine="560" w:firstLineChars="200"/>
              <w:jc w:val="both"/>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kern w:val="2"/>
                <w:sz w:val="28"/>
                <w:szCs w:val="28"/>
                <w:lang w:val="en-US"/>
              </w:rPr>
              <w:t>幼儿教育名著导读</w:t>
            </w:r>
          </w:p>
          <w:p>
            <w:pPr>
              <w:snapToGrid w:val="0"/>
              <w:spacing w:line="360" w:lineRule="auto"/>
              <w:ind w:firstLine="560" w:firstLineChars="200"/>
              <w:jc w:val="both"/>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本课程主要内容是作为学前教育学生</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了解中外幼儿教育名著及其重要思想既满足了我们幼儿教育工作者的实际需要</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也为学生今后的幼儿教育提供了重要的理论基础。本课程主要介绍外国近代中国幼儿教育历史上的具有代表性的幼儿教育人物及其对幼儿教育的看法和主张。帮助学生掌握学前教育的理论和国内外学前教育改革与发展的脉络，从中外学前教育经典著作中不断领悟教育的真谛，感受教育的人文与理性精神。</w:t>
            </w:r>
          </w:p>
          <w:p>
            <w:pPr>
              <w:snapToGrid w:val="0"/>
              <w:spacing w:line="360" w:lineRule="auto"/>
              <w:ind w:firstLine="560" w:firstLineChars="200"/>
              <w:jc w:val="both"/>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rPr>
              <w:t>学前儿童特殊教育</w:t>
            </w:r>
          </w:p>
          <w:p>
            <w:pPr>
              <w:snapToGrid w:val="0"/>
              <w:spacing w:line="360" w:lineRule="auto"/>
              <w:ind w:firstLine="560" w:firstLineChars="200"/>
              <w:jc w:val="both"/>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旨在帮助学前专业的学生学会如何为不同的儿童在各种学前教育机构中实施特殊教育，面向全体儿童，为他们在早期提供一个良好的共同发展和全面发展的教育环境。结合我国学前教育的具体实际，介绍各类在学前期常见的特殊儿童及教育，主要包括生理发展障碍儿童的教育、智力落后儿童的教育、语言障碍儿童的教育、情绪与行为问题儿童的教育和超常儿童的教育以及有关特殊教育的基本理论与教育方法。让学生全面地掌握特色学前儿童心理与教育的有关理论，初步掌握不同类型特殊学前儿童的教育方法，并能学习运用所学理论帮助具体的特殊儿童实现个别化教育。</w:t>
            </w:r>
          </w:p>
          <w:p>
            <w:pPr>
              <w:snapToGrid w:val="0"/>
              <w:spacing w:line="360" w:lineRule="auto"/>
              <w:ind w:firstLine="560" w:firstLineChars="200"/>
              <w:jc w:val="both"/>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9.</w:t>
            </w:r>
            <w:r>
              <w:rPr>
                <w:rFonts w:hint="eastAsia" w:ascii="仿宋_GB2312" w:hAnsi="仿宋_GB2312" w:eastAsia="仿宋_GB2312" w:cs="仿宋_GB2312"/>
                <w:color w:val="000000"/>
                <w:sz w:val="28"/>
                <w:szCs w:val="28"/>
                <w:lang w:val="en-US"/>
              </w:rPr>
              <w:t>全国统一命题考试课程（略）</w:t>
            </w:r>
            <w:r>
              <w:rPr>
                <w:rFonts w:hint="eastAsia" w:ascii="仿宋_GB2312" w:hAnsi="仿宋_GB2312" w:eastAsia="仿宋_GB2312" w:cs="仿宋_GB2312"/>
                <w:color w:val="000000"/>
                <w:sz w:val="28"/>
                <w:szCs w:val="28"/>
                <w:lang w:val="en-US" w:eastAsia="zh-CN"/>
              </w:rPr>
              <w:t>。</w:t>
            </w:r>
          </w:p>
          <w:p>
            <w:pPr>
              <w:snapToGrid w:val="0"/>
              <w:spacing w:line="360" w:lineRule="auto"/>
              <w:ind w:firstLine="560" w:firstLineChars="200"/>
              <w:jc w:val="both"/>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10.</w:t>
            </w:r>
            <w:r>
              <w:rPr>
                <w:rFonts w:hint="eastAsia" w:ascii="仿宋_GB2312" w:hAnsi="仿宋_GB2312" w:eastAsia="仿宋_GB2312" w:cs="仿宋_GB2312"/>
                <w:color w:val="000000"/>
                <w:sz w:val="28"/>
                <w:szCs w:val="28"/>
                <w:lang w:val="en-US"/>
              </w:rPr>
              <w:t>实践性学习环节课程（按主考学校要求执行）</w:t>
            </w:r>
            <w:r>
              <w:rPr>
                <w:rFonts w:hint="eastAsia" w:ascii="仿宋_GB2312" w:hAnsi="仿宋_GB2312" w:eastAsia="仿宋_GB2312" w:cs="仿宋_GB2312"/>
                <w:color w:val="000000"/>
                <w:sz w:val="28"/>
                <w:szCs w:val="28"/>
                <w:lang w:val="en-US" w:eastAsia="zh-CN"/>
              </w:rPr>
              <w:t>。</w:t>
            </w:r>
          </w:p>
          <w:p>
            <w:pPr>
              <w:snapToGrid w:val="0"/>
              <w:spacing w:line="360" w:lineRule="auto"/>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both"/>
              <w:rPr>
                <w:rFonts w:ascii="仿宋_GB2312" w:hAnsi="仿宋_GB2312" w:eastAsia="仿宋_GB2312" w:cs="仿宋_GB2312"/>
                <w:color w:val="000000"/>
                <w:sz w:val="28"/>
                <w:szCs w:val="28"/>
                <w:lang w:val="en-US"/>
              </w:rPr>
            </w:pPr>
            <w:r>
              <w:rPr>
                <w:rFonts w:ascii="仿宋_GB2312" w:hAnsi="仿宋_GB2312" w:eastAsia="仿宋_GB2312" w:cs="仿宋_GB2312"/>
                <w:sz w:val="28"/>
                <w:szCs w:val="28"/>
              </w:rPr>
              <w:t>1.</w:t>
            </w:r>
            <w:r>
              <w:rPr>
                <w:rFonts w:hint="eastAsia" w:ascii="仿宋_GB2312" w:hAnsi="仿宋_GB2312" w:eastAsia="仿宋_GB2312" w:cs="仿宋_GB2312"/>
                <w:color w:val="000000"/>
                <w:sz w:val="28"/>
                <w:szCs w:val="28"/>
                <w:lang w:val="en-US"/>
              </w:rPr>
              <w:t>含实践的课程及实践所占学分：《</w:t>
            </w:r>
            <w:r>
              <w:rPr>
                <w:rFonts w:hint="eastAsia" w:ascii="仿宋_GB2312" w:hAnsi="仿宋_GB2312" w:eastAsia="仿宋_GB2312" w:cs="仿宋_GB2312"/>
                <w:sz w:val="28"/>
                <w:szCs w:val="28"/>
              </w:rPr>
              <w:t>幼儿园组织与管理（</w:t>
            </w:r>
            <w:r>
              <w:rPr>
                <w:rFonts w:hint="eastAsia" w:ascii="仿宋_GB2312" w:hAnsi="仿宋_GB2312" w:eastAsia="仿宋_GB2312" w:cs="仿宋_GB2312"/>
                <w:sz w:val="28"/>
                <w:szCs w:val="28"/>
                <w:lang w:val="en-US"/>
              </w:rPr>
              <w:t>实践</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lang w:val="en-US"/>
              </w:rPr>
              <w:t>》（</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学分），《</w:t>
            </w:r>
            <w:r>
              <w:rPr>
                <w:rFonts w:hint="eastAsia" w:ascii="仿宋_GB2312" w:hAnsi="仿宋_GB2312" w:eastAsia="仿宋_GB2312" w:cs="仿宋_GB2312"/>
                <w:sz w:val="28"/>
                <w:szCs w:val="28"/>
              </w:rPr>
              <w:t>学前教育研究方法（</w:t>
            </w:r>
            <w:r>
              <w:rPr>
                <w:rFonts w:hint="eastAsia" w:ascii="仿宋_GB2312" w:hAnsi="仿宋_GB2312" w:eastAsia="仿宋_GB2312" w:cs="仿宋_GB2312"/>
                <w:sz w:val="28"/>
                <w:szCs w:val="28"/>
                <w:lang w:val="en-US"/>
              </w:rPr>
              <w:t>实践</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lang w:val="en-US"/>
              </w:rPr>
              <w:t>》（</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学分），《</w:t>
            </w:r>
            <w:r>
              <w:rPr>
                <w:rFonts w:hint="eastAsia" w:ascii="仿宋_GB2312" w:hAnsi="仿宋_GB2312" w:eastAsia="仿宋_GB2312" w:cs="仿宋_GB2312"/>
                <w:sz w:val="28"/>
                <w:szCs w:val="28"/>
                <w:lang w:val="en-US"/>
              </w:rPr>
              <w:t>幼儿园课程与教学</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实践</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lang w:val="en-US"/>
              </w:rPr>
              <w:t>》（</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rPr>
              <w:t>学分），《</w:t>
            </w:r>
            <w:r>
              <w:rPr>
                <w:rFonts w:hint="eastAsia" w:ascii="仿宋_GB2312" w:hAnsi="仿宋_GB2312" w:eastAsia="仿宋_GB2312" w:cs="仿宋_GB2312"/>
                <w:sz w:val="28"/>
                <w:szCs w:val="28"/>
                <w:lang w:val="en-US"/>
              </w:rPr>
              <w:t>幼儿游戏理论与指导</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实践</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lang w:val="en-US"/>
              </w:rPr>
              <w:t>》（</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学分）。</w:t>
            </w:r>
          </w:p>
          <w:p>
            <w:pPr>
              <w:widowControl/>
              <w:adjustRightInd w:val="0"/>
              <w:snapToGrid w:val="0"/>
              <w:spacing w:line="360" w:lineRule="auto"/>
              <w:ind w:firstLine="560" w:firstLineChars="200"/>
              <w:jc w:val="left"/>
              <w:rPr>
                <w:rFonts w:ascii="仿宋_GB2312" w:hAnsi="仿宋_GB2312" w:eastAsia="仿宋_GB2312" w:cs="仿宋_GB2312"/>
                <w:b/>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毕业论文。</w:t>
            </w:r>
          </w:p>
          <w:p>
            <w:pPr>
              <w:pStyle w:val="4"/>
              <w:snapToGrid w:val="0"/>
              <w:spacing w:line="360" w:lineRule="auto"/>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七、其他必要的说明</w:t>
            </w:r>
          </w:p>
          <w:p>
            <w:pPr>
              <w:snapToGrid w:val="0"/>
              <w:spacing w:line="360" w:lineRule="auto"/>
              <w:ind w:firstLine="560" w:firstLineChars="200"/>
              <w:jc w:val="both"/>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教育类专业专科毕业生均可直接报考本专业。</w:t>
            </w:r>
          </w:p>
          <w:p>
            <w:pPr>
              <w:snapToGrid w:val="0"/>
              <w:spacing w:line="360" w:lineRule="auto"/>
              <w:ind w:firstLine="560" w:firstLineChars="200"/>
              <w:jc w:val="both"/>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其他专业专科毕业生也可报考本专业，但需要具有教育学、心理学等本专业所需的基础知识。</w:t>
            </w:r>
          </w:p>
          <w:p>
            <w:pPr>
              <w:pStyle w:val="4"/>
              <w:snapToGrid w:val="0"/>
              <w:spacing w:line="360" w:lineRule="auto"/>
              <w:ind w:firstLine="560" w:firstLineChars="200"/>
              <w:jc w:val="both"/>
              <w:rPr>
                <w:rFonts w:ascii="仿宋_GB2312" w:hAnsi="仿宋_GB2312" w:eastAsia="仿宋_GB2312" w:cs="仿宋_GB2312"/>
                <w:sz w:val="28"/>
                <w:szCs w:val="28"/>
                <w:lang w:val="en-US"/>
              </w:rPr>
            </w:pPr>
          </w:p>
        </w:tc>
      </w:tr>
    </w:tbl>
    <w:p>
      <w:pPr>
        <w:pStyle w:val="2"/>
        <w:bidi w:val="0"/>
        <w:rPr>
          <w:rFonts w:hint="eastAsia" w:ascii="Times New Roman" w:hAnsi="Times New Roman"/>
        </w:rPr>
      </w:pPr>
      <w:r>
        <w:rPr>
          <w:rFonts w:hint="eastAsia" w:ascii="Times New Roman" w:hAnsi="Times New Roman"/>
          <w:lang w:val="en-US" w:eastAsia="zh-CN"/>
        </w:rPr>
        <w:t>学前教育</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040106</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00398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学前教育原理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00882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学前教育心理学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13147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幼儿园组织与管理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13148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幼儿园组织与管理（实践）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13213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学前教育研究方法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13214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学前教育研究方法（实践）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14605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幼儿园课程与教学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39"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14606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幼儿园课程与教学（实践）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03672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学前健康教育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03673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学前艺术教育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08761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中外学前教育史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14494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学前儿童家庭与社区教育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14603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幼儿游戏理论与指导</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14604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幼儿游戏理论与指导（实践）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00883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学前儿童特殊教育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幼儿教育名著导读</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80</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hint="eastAsia" w:ascii="Times New Roman" w:hAnsi="Times New Roman"/>
          <w:lang w:val="en-US" w:eastAsia="zh-CN"/>
        </w:rPr>
      </w:pPr>
      <w:r>
        <w:rPr>
          <w:rFonts w:hint="eastAsia" w:ascii="Times New Roman" w:hAnsi="Times New Roman"/>
          <w:lang w:val="en-US" w:eastAsia="zh-CN"/>
        </w:rPr>
        <w:t>四川省高等教育自学考试</w:t>
      </w:r>
    </w:p>
    <w:p>
      <w:pPr>
        <w:pStyle w:val="2"/>
        <w:bidi w:val="0"/>
        <w:rPr>
          <w:rFonts w:ascii="Times New Roman" w:hAnsi="Times New Roman"/>
        </w:rPr>
      </w:pPr>
      <w:r>
        <w:rPr>
          <w:rFonts w:hint="eastAsia" w:ascii="Times New Roman" w:hAnsi="Times New Roman"/>
          <w:lang w:val="en-US" w:eastAsia="zh-CN"/>
        </w:rPr>
        <w:t>学前教育（专升本）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8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757"/>
        <w:gridCol w:w="2380"/>
        <w:gridCol w:w="689"/>
        <w:gridCol w:w="668"/>
        <w:gridCol w:w="757"/>
        <w:gridCol w:w="2401"/>
        <w:gridCol w:w="663"/>
        <w:gridCol w:w="7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28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8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28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学前教育（专升本），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0401022</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学前教育（专升本），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040106</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9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8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sz w:val="18"/>
                <w:szCs w:val="18"/>
              </w:rPr>
              <w:t>03708</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sz w:val="18"/>
                <w:szCs w:val="18"/>
              </w:rPr>
              <w:t>中国近现代史纲要</w:t>
            </w:r>
          </w:p>
        </w:tc>
        <w:tc>
          <w:tcPr>
            <w:tcW w:w="3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sz w:val="18"/>
                <w:szCs w:val="18"/>
              </w:rPr>
              <w:t>2</w:t>
            </w:r>
          </w:p>
        </w:tc>
        <w:tc>
          <w:tcPr>
            <w:tcW w:w="347"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8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sz w:val="18"/>
                <w:szCs w:val="18"/>
              </w:rPr>
              <w:t>03709</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sz w:val="18"/>
                <w:szCs w:val="18"/>
              </w:rPr>
              <w:t>马克思主义基本原理概论</w:t>
            </w:r>
          </w:p>
        </w:tc>
        <w:tc>
          <w:tcPr>
            <w:tcW w:w="3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sz w:val="18"/>
                <w:szCs w:val="18"/>
              </w:rPr>
              <w:t>4</w:t>
            </w:r>
          </w:p>
        </w:tc>
        <w:tc>
          <w:tcPr>
            <w:tcW w:w="347"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color w:val="auto"/>
                <w:kern w:val="0"/>
                <w:sz w:val="18"/>
                <w:szCs w:val="18"/>
                <w:lang w:val="en-US" w:eastAsia="zh-CN"/>
              </w:rPr>
              <w:t>00015</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英语（二）</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color w:val="auto"/>
                <w:kern w:val="0"/>
                <w:sz w:val="18"/>
                <w:szCs w:val="18"/>
                <w:lang w:val="en-US" w:eastAsia="zh-CN"/>
              </w:rPr>
              <w:t>14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9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color w:val="auto"/>
                <w:kern w:val="0"/>
                <w:sz w:val="18"/>
                <w:szCs w:val="18"/>
                <w:lang w:val="en-US" w:eastAsia="zh-CN"/>
              </w:rPr>
              <w:t>00398</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学前教育原理</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00398</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学前教育原理</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29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03657</w:t>
            </w:r>
          </w:p>
        </w:tc>
        <w:tc>
          <w:tcPr>
            <w:tcW w:w="123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学前教育研究方法</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4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13213</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学前教育研究方法</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29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123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34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13214</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学前教育研究方法（实践）</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00402</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学前教育史</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08761</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中外学前教育史</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8</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29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00387</w:t>
            </w:r>
          </w:p>
        </w:tc>
        <w:tc>
          <w:tcPr>
            <w:tcW w:w="123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幼儿园组织与管理</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4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13147</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幼儿园组织与管理</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vMerge w:val="continue"/>
            <w:tcBorders>
              <w:tl2br w:val="nil"/>
              <w:tr2bl w:val="nil"/>
            </w:tcBorders>
            <w:vAlign w:val="center"/>
          </w:tcPr>
          <w:p>
            <w:pPr>
              <w:widowControl/>
              <w:spacing w:line="300" w:lineRule="exact"/>
              <w:jc w:val="center"/>
              <w:rPr>
                <w:rFonts w:eastAsia="方正书宋简体"/>
                <w:kern w:val="0"/>
                <w:szCs w:val="21"/>
              </w:rPr>
            </w:pPr>
          </w:p>
        </w:tc>
        <w:tc>
          <w:tcPr>
            <w:tcW w:w="1236" w:type="pct"/>
            <w:vMerge w:val="continue"/>
            <w:tcBorders>
              <w:tl2br w:val="nil"/>
              <w:tr2bl w:val="nil"/>
            </w:tcBorders>
            <w:vAlign w:val="center"/>
          </w:tcPr>
          <w:p>
            <w:pPr>
              <w:widowControl/>
              <w:spacing w:line="300" w:lineRule="exact"/>
              <w:jc w:val="left"/>
              <w:rPr>
                <w:rFonts w:eastAsia="方正书宋简体"/>
                <w:kern w:val="0"/>
                <w:szCs w:val="21"/>
              </w:rPr>
            </w:pPr>
          </w:p>
        </w:tc>
        <w:tc>
          <w:tcPr>
            <w:tcW w:w="356" w:type="pct"/>
            <w:vMerge w:val="continue"/>
            <w:tcBorders>
              <w:tl2br w:val="nil"/>
              <w:tr2bl w:val="nil"/>
            </w:tcBorders>
            <w:vAlign w:val="center"/>
          </w:tcPr>
          <w:p>
            <w:pPr>
              <w:widowControl/>
              <w:spacing w:line="300" w:lineRule="exact"/>
              <w:jc w:val="center"/>
              <w:rPr>
                <w:rFonts w:eastAsia="方正书宋简体"/>
                <w:kern w:val="0"/>
                <w:szCs w:val="21"/>
              </w:rPr>
            </w:pPr>
          </w:p>
        </w:tc>
        <w:tc>
          <w:tcPr>
            <w:tcW w:w="34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13148</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幼儿园组织与管理（实践）</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9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00882</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学前教育心理学</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00882</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学前教育心理学</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00394</w:t>
            </w:r>
          </w:p>
        </w:tc>
        <w:tc>
          <w:tcPr>
            <w:tcW w:w="123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幼儿园课程</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4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14605</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幼儿园课程与教学</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29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3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5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14606</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幼儿园课程与教学（实践）</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12353</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学前儿童心理健康与辅导</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03672</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学前健康教育</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9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30008</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家长工作与家园沟通</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14494</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学前儿童家庭与社区教育</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00401</w:t>
            </w:r>
          </w:p>
        </w:tc>
        <w:tc>
          <w:tcPr>
            <w:tcW w:w="123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学前比较教育</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4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14603</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幼儿游戏理论与指导</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8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9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3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5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14604</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幼儿游戏理论与指导（实践）</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30007</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学前儿童发展评估</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kern w:val="2"/>
                <w:sz w:val="18"/>
                <w:szCs w:val="18"/>
                <w:lang w:val="en-US" w:eastAsia="zh-CN" w:bidi="ar-SA"/>
              </w:rPr>
              <w:t>13</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03673</w:t>
            </w: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学前艺术教育</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12351</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低幼儿童文学名著导读</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15</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00385</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学前卫生学</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12350</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儿童发展理论</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9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17</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30009</w:t>
            </w:r>
          </w:p>
        </w:tc>
        <w:tc>
          <w:tcPr>
            <w:tcW w:w="12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幼儿园班级管理</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4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8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四川省高等教育自学考试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学前教育（专升本）专业考试计划对应衔接表</w:t>
      </w:r>
    </w:p>
    <w:tbl>
      <w:tblPr>
        <w:tblStyle w:val="5"/>
        <w:tblW w:w="498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733"/>
        <w:gridCol w:w="2413"/>
        <w:gridCol w:w="691"/>
        <w:gridCol w:w="649"/>
        <w:gridCol w:w="739"/>
        <w:gridCol w:w="2386"/>
        <w:gridCol w:w="707"/>
        <w:gridCol w:w="7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93"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27"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379"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293"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学前教育（专升本），B</w:t>
            </w:r>
            <w:r>
              <w:rPr>
                <w:rFonts w:hint="default" w:ascii="Times New Roman" w:hAnsi="Times New Roman" w:eastAsia="黑体" w:cs="Times New Roman"/>
                <w:b w:val="0"/>
                <w:bCs w:val="0"/>
                <w:color w:val="auto"/>
                <w:kern w:val="0"/>
                <w:sz w:val="18"/>
                <w:szCs w:val="18"/>
                <w:lang w:val="en-US" w:eastAsia="zh-CN"/>
              </w:rPr>
              <w:t>0401022</w:t>
            </w:r>
          </w:p>
        </w:tc>
        <w:tc>
          <w:tcPr>
            <w:tcW w:w="2327" w:type="pct"/>
            <w:gridSpan w:val="4"/>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zh-CN" w:eastAsia="zh-CN"/>
              </w:rPr>
            </w:pPr>
            <w:r>
              <w:rPr>
                <w:rFonts w:hint="eastAsia" w:ascii="黑体" w:hAnsi="黑体" w:eastAsia="黑体" w:cs="黑体"/>
                <w:b w:val="0"/>
                <w:bCs w:val="0"/>
                <w:color w:val="auto"/>
                <w:kern w:val="0"/>
                <w:sz w:val="18"/>
                <w:szCs w:val="18"/>
                <w:lang w:val="en-US" w:eastAsia="zh-CN"/>
              </w:rPr>
              <w:t>学前教育（专升本），H</w:t>
            </w:r>
            <w:r>
              <w:rPr>
                <w:rFonts w:hint="default" w:ascii="Times New Roman" w:hAnsi="Times New Roman" w:eastAsia="黑体" w:cs="Times New Roman"/>
                <w:b w:val="0"/>
                <w:bCs w:val="0"/>
                <w:color w:val="auto"/>
                <w:kern w:val="0"/>
                <w:sz w:val="18"/>
                <w:szCs w:val="18"/>
                <w:lang w:val="en-US" w:eastAsia="zh-CN"/>
              </w:rPr>
              <w:t>040106</w:t>
            </w:r>
          </w:p>
        </w:tc>
        <w:tc>
          <w:tcPr>
            <w:tcW w:w="379"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00"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8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53"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57"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37"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8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39"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6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79"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8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5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3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8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03708</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中国近现代史纲要</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2</w:t>
            </w:r>
          </w:p>
        </w:tc>
        <w:tc>
          <w:tcPr>
            <w:tcW w:w="379"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8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5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3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8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03709</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马克思主义基本原理概论</w:t>
            </w: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4</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8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00015</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英语（二）</w:t>
            </w:r>
          </w:p>
        </w:tc>
        <w:tc>
          <w:tcPr>
            <w:tcW w:w="35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14</w:t>
            </w:r>
          </w:p>
        </w:tc>
        <w:tc>
          <w:tcPr>
            <w:tcW w:w="33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3</w:t>
            </w: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13000</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英语（专升本）</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7</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81" w:type="pct"/>
            <w:vMerge w:val="restar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00394</w:t>
            </w:r>
          </w:p>
        </w:tc>
        <w:tc>
          <w:tcPr>
            <w:tcW w:w="1253" w:type="pct"/>
            <w:vMerge w:val="restar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幼儿园课程</w:t>
            </w:r>
          </w:p>
        </w:tc>
        <w:tc>
          <w:tcPr>
            <w:tcW w:w="357" w:type="pct"/>
            <w:vMerge w:val="restar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3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14605</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幼儿园课程与教学</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81"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53"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5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3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14606</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幼儿园课程与教学（实践）</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2</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8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00398</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学前教育原理</w:t>
            </w:r>
          </w:p>
        </w:tc>
        <w:tc>
          <w:tcPr>
            <w:tcW w:w="35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3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00398</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学前教育原理</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8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00882</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学前教育心理学</w:t>
            </w:r>
          </w:p>
        </w:tc>
        <w:tc>
          <w:tcPr>
            <w:tcW w:w="35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3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00882</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学前教育心理学</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81" w:type="pct"/>
            <w:vMerge w:val="restar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03657</w:t>
            </w:r>
          </w:p>
        </w:tc>
        <w:tc>
          <w:tcPr>
            <w:tcW w:w="1253" w:type="pct"/>
            <w:vMerge w:val="restar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学前教育研究方法</w:t>
            </w:r>
          </w:p>
        </w:tc>
        <w:tc>
          <w:tcPr>
            <w:tcW w:w="357" w:type="pct"/>
            <w:vMerge w:val="restar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3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7</w:t>
            </w: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13213</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学前教育研究方法</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81"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53"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5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3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13214</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学前教育研究方法（实践）</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81" w:type="pct"/>
            <w:vMerge w:val="restar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00387</w:t>
            </w:r>
          </w:p>
        </w:tc>
        <w:tc>
          <w:tcPr>
            <w:tcW w:w="1253" w:type="pct"/>
            <w:vMerge w:val="restar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幼儿园组织与管理</w:t>
            </w:r>
          </w:p>
        </w:tc>
        <w:tc>
          <w:tcPr>
            <w:tcW w:w="357" w:type="pct"/>
            <w:vMerge w:val="restar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3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13147</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幼儿园组织与管理</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81"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53"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57"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3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13148</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幼儿园组织与管理（实践）</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9</w:t>
            </w:r>
          </w:p>
        </w:tc>
        <w:tc>
          <w:tcPr>
            <w:tcW w:w="38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00402</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学前教育史</w:t>
            </w:r>
          </w:p>
        </w:tc>
        <w:tc>
          <w:tcPr>
            <w:tcW w:w="35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3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9</w:t>
            </w: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08761</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中外学前教育史</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8</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w:t>
            </w:r>
          </w:p>
        </w:tc>
        <w:tc>
          <w:tcPr>
            <w:tcW w:w="381" w:type="pct"/>
            <w:tcBorders>
              <w:tl2br w:val="nil"/>
              <w:tr2bl w:val="nil"/>
            </w:tcBorders>
            <w:noWrap w:val="0"/>
            <w:vAlign w:val="center"/>
          </w:tcPr>
          <w:p>
            <w:pPr>
              <w:widowControl/>
              <w:spacing w:line="300" w:lineRule="exact"/>
              <w:jc w:val="center"/>
              <w:rPr>
                <w:rFonts w:hint="default"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12353</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学前儿童心理健康与辅导</w:t>
            </w:r>
          </w:p>
        </w:tc>
        <w:tc>
          <w:tcPr>
            <w:tcW w:w="357" w:type="pct"/>
            <w:tcBorders>
              <w:tl2br w:val="nil"/>
              <w:tr2bl w:val="nil"/>
            </w:tcBorders>
            <w:noWrap w:val="0"/>
            <w:vAlign w:val="center"/>
          </w:tcPr>
          <w:p>
            <w:pPr>
              <w:widowControl/>
              <w:spacing w:line="300" w:lineRule="exact"/>
              <w:jc w:val="center"/>
              <w:rPr>
                <w:rFonts w:hint="default"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2</w:t>
            </w:r>
          </w:p>
        </w:tc>
        <w:tc>
          <w:tcPr>
            <w:tcW w:w="337"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w:t>
            </w:r>
          </w:p>
        </w:tc>
        <w:tc>
          <w:tcPr>
            <w:tcW w:w="384" w:type="pct"/>
            <w:tcBorders>
              <w:tl2br w:val="nil"/>
              <w:tr2bl w:val="nil"/>
            </w:tcBorders>
            <w:noWrap w:val="0"/>
            <w:vAlign w:val="center"/>
          </w:tcPr>
          <w:p>
            <w:pPr>
              <w:widowControl/>
              <w:spacing w:line="300" w:lineRule="exact"/>
              <w:jc w:val="center"/>
              <w:rPr>
                <w:rFonts w:hint="default"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03672</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学前健康教育</w:t>
            </w:r>
          </w:p>
        </w:tc>
        <w:tc>
          <w:tcPr>
            <w:tcW w:w="366" w:type="pct"/>
            <w:tcBorders>
              <w:tl2br w:val="nil"/>
              <w:tr2bl w:val="nil"/>
            </w:tcBorders>
            <w:noWrap w:val="0"/>
            <w:vAlign w:val="center"/>
          </w:tcPr>
          <w:p>
            <w:pPr>
              <w:widowControl/>
              <w:spacing w:line="300" w:lineRule="exact"/>
              <w:jc w:val="center"/>
              <w:rPr>
                <w:rFonts w:hint="default"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w:t>
            </w:r>
          </w:p>
        </w:tc>
        <w:tc>
          <w:tcPr>
            <w:tcW w:w="38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30007</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学前儿童发展评估</w:t>
            </w:r>
          </w:p>
        </w:tc>
        <w:tc>
          <w:tcPr>
            <w:tcW w:w="35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3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w:t>
            </w: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14494</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学前儿童家庭与社区教育</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79"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w:t>
            </w:r>
            <w:bookmarkStart w:id="0" w:name="_GoBack"/>
            <w:bookmarkEnd w:id="0"/>
            <w:r>
              <w:rPr>
                <w:rFonts w:hint="eastAsia" w:cs="Times New Roman"/>
                <w:b w:val="0"/>
                <w:bCs w:val="0"/>
                <w:color w:val="auto"/>
                <w:sz w:val="18"/>
                <w:szCs w:val="18"/>
                <w:lang w:val="en-US" w:eastAsia="zh-CN"/>
              </w:rPr>
              <w:t>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12</w:t>
            </w:r>
          </w:p>
        </w:tc>
        <w:tc>
          <w:tcPr>
            <w:tcW w:w="38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30008</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家长工作与家园沟通</w:t>
            </w:r>
          </w:p>
        </w:tc>
        <w:tc>
          <w:tcPr>
            <w:tcW w:w="35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2</w:t>
            </w:r>
          </w:p>
        </w:tc>
        <w:tc>
          <w:tcPr>
            <w:tcW w:w="33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12</w:t>
            </w: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03673</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学前艺术教育</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81" w:type="pct"/>
            <w:vMerge w:val="restar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12351</w:t>
            </w:r>
          </w:p>
        </w:tc>
        <w:tc>
          <w:tcPr>
            <w:tcW w:w="1253" w:type="pct"/>
            <w:vMerge w:val="restar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低幼儿童文学名著导读</w:t>
            </w:r>
          </w:p>
        </w:tc>
        <w:tc>
          <w:tcPr>
            <w:tcW w:w="357" w:type="pct"/>
            <w:vMerge w:val="restar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3</w:t>
            </w:r>
          </w:p>
        </w:tc>
        <w:tc>
          <w:tcPr>
            <w:tcW w:w="33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kern w:val="2"/>
                <w:sz w:val="18"/>
                <w:szCs w:val="18"/>
                <w:lang w:val="en-US" w:eastAsia="zh-CN" w:bidi="ar-SA"/>
              </w:rPr>
              <w:t>13</w:t>
            </w: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14603</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幼儿游戏理论与指导</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3</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00"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kern w:val="2"/>
                <w:sz w:val="18"/>
                <w:szCs w:val="18"/>
                <w:lang w:val="en-US" w:eastAsia="zh-CN" w:bidi="ar-SA"/>
              </w:rPr>
            </w:pPr>
          </w:p>
        </w:tc>
        <w:tc>
          <w:tcPr>
            <w:tcW w:w="381" w:type="pct"/>
            <w:vMerge w:val="continue"/>
            <w:tcBorders>
              <w:tl2br w:val="nil"/>
              <w:tr2bl w:val="nil"/>
            </w:tcBorders>
            <w:noWrap w:val="0"/>
            <w:vAlign w:val="center"/>
          </w:tcPr>
          <w:p>
            <w:pPr>
              <w:widowControl/>
              <w:spacing w:line="300" w:lineRule="exact"/>
              <w:jc w:val="center"/>
              <w:rPr>
                <w:rFonts w:hint="default" w:ascii="Times New Roman" w:hAnsi="Times New Roman" w:eastAsia="宋体" w:cs="Times New Roman"/>
                <w:b w:val="0"/>
                <w:bCs w:val="0"/>
                <w:color w:val="auto"/>
                <w:kern w:val="0"/>
                <w:sz w:val="18"/>
                <w:szCs w:val="18"/>
                <w:lang w:val="en-US" w:eastAsia="zh-CN"/>
              </w:rPr>
            </w:pPr>
          </w:p>
        </w:tc>
        <w:tc>
          <w:tcPr>
            <w:tcW w:w="1253"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57" w:type="pct"/>
            <w:vMerge w:val="continue"/>
            <w:tcBorders>
              <w:tl2br w:val="nil"/>
              <w:tr2bl w:val="nil"/>
            </w:tcBorders>
            <w:noWrap w:val="0"/>
            <w:vAlign w:val="center"/>
          </w:tcPr>
          <w:p>
            <w:pPr>
              <w:widowControl/>
              <w:spacing w:line="300" w:lineRule="exact"/>
              <w:jc w:val="center"/>
              <w:rPr>
                <w:rFonts w:hint="default" w:ascii="Times New Roman" w:hAnsi="Times New Roman" w:eastAsia="宋体" w:cs="Times New Roman"/>
                <w:b w:val="0"/>
                <w:bCs w:val="0"/>
                <w:color w:val="auto"/>
                <w:kern w:val="0"/>
                <w:sz w:val="18"/>
                <w:szCs w:val="18"/>
                <w:lang w:val="en-US" w:eastAsia="zh-CN"/>
              </w:rPr>
            </w:pPr>
          </w:p>
        </w:tc>
        <w:tc>
          <w:tcPr>
            <w:tcW w:w="33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14604</w:t>
            </w: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幼儿游戏理论与指导（实践）</w:t>
            </w: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w:t>
            </w: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14</w:t>
            </w:r>
          </w:p>
        </w:tc>
        <w:tc>
          <w:tcPr>
            <w:tcW w:w="38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00385</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学前卫生学</w:t>
            </w:r>
          </w:p>
        </w:tc>
        <w:tc>
          <w:tcPr>
            <w:tcW w:w="35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3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15</w:t>
            </w:r>
          </w:p>
        </w:tc>
        <w:tc>
          <w:tcPr>
            <w:tcW w:w="38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12350</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儿童发展理论</w:t>
            </w:r>
          </w:p>
        </w:tc>
        <w:tc>
          <w:tcPr>
            <w:tcW w:w="35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3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16</w:t>
            </w:r>
          </w:p>
        </w:tc>
        <w:tc>
          <w:tcPr>
            <w:tcW w:w="38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30009</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幼儿园班级管理</w:t>
            </w:r>
          </w:p>
        </w:tc>
        <w:tc>
          <w:tcPr>
            <w:tcW w:w="35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2</w:t>
            </w:r>
          </w:p>
        </w:tc>
        <w:tc>
          <w:tcPr>
            <w:tcW w:w="33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17</w:t>
            </w:r>
          </w:p>
        </w:tc>
        <w:tc>
          <w:tcPr>
            <w:tcW w:w="38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00401</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学前比较教育</w:t>
            </w:r>
          </w:p>
        </w:tc>
        <w:tc>
          <w:tcPr>
            <w:tcW w:w="35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3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84"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6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0" w:type="pct"/>
            <w:tcBorders>
              <w:tl2br w:val="nil"/>
              <w:tr2bl w:val="nil"/>
            </w:tcBorders>
            <w:noWrap w:val="0"/>
            <w:vAlign w:val="center"/>
          </w:tcPr>
          <w:p>
            <w:pPr>
              <w:widowControl/>
              <w:jc w:val="center"/>
              <w:textAlignment w:val="center"/>
              <w:rPr>
                <w:rFonts w:hint="eastAsia" w:ascii="Times New Roman" w:hAnsi="Times New Roman" w:eastAsia="宋体" w:cs="Times New Roman"/>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18</w:t>
            </w:r>
          </w:p>
        </w:tc>
        <w:tc>
          <w:tcPr>
            <w:tcW w:w="38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12657</w:t>
            </w:r>
          </w:p>
        </w:tc>
        <w:tc>
          <w:tcPr>
            <w:tcW w:w="1253"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幼儿教师教研指导</w:t>
            </w:r>
          </w:p>
        </w:tc>
        <w:tc>
          <w:tcPr>
            <w:tcW w:w="35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3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84"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3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6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79"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7"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学前教育（专升本）专业教材明细表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0"/>
        <w:gridCol w:w="1143"/>
        <w:gridCol w:w="1007"/>
        <w:gridCol w:w="870"/>
        <w:gridCol w:w="2520"/>
        <w:gridCol w:w="2865"/>
        <w:gridCol w:w="1455"/>
        <w:gridCol w:w="1980"/>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00398</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学前教育原理</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学前教育原理</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韩映虹</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00882</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学前教育心理学</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学前教育心理学</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曹中平</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03672</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学前健康教育</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学前儿童健康教育</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王娟</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复旦大学出版社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03673</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学前艺术教育</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学前儿童艺术教育与活动指导</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程英</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08761</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中外学前教育史</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中外学前教育史</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田景正、杨佳</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13147</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幼儿园组织与管理</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幼儿园组织与管理</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邢丽娅</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13148</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幼儿园组织与管理（实践）</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13213</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学前教育研究方法</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学前教育研究方法</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秦金亮</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13214</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学前教育研究方法（实践）</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14494</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学前儿童家庭与社区教育</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学前儿童家庭与社区教育</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李贵希、王燕</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14603</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幼儿游戏理论与指导</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幼儿游戏理论与活动指导</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王芳清</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2021年微课版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14604</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幼儿游戏理论与指导（实践）</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14605</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幼儿园课程与教学</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幼儿园课程与教学</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邵小佩</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14606</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幼儿园课程与教学（实践）</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00883</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学前儿童特殊教育</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学前儿童特殊教育</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王萍、张莉等</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040106</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14600</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幼儿教育名著导读</w:t>
            </w:r>
          </w:p>
        </w:tc>
        <w:tc>
          <w:tcPr>
            <w:tcW w:w="10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中外幼儿教育名著导读</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姚伟</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70B446A-F3C4-4F69-A662-77A2B04095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20DB9C9-1A2A-401E-98E9-6A2B3F82450B}"/>
  </w:font>
  <w:font w:name="方正小标宋_GBK">
    <w:panose1 w:val="02000000000000000000"/>
    <w:charset w:val="86"/>
    <w:family w:val="script"/>
    <w:pitch w:val="default"/>
    <w:sig w:usb0="A00002BF" w:usb1="38CF7CFA" w:usb2="00082016" w:usb3="00000000" w:csb0="00040001" w:csb1="00000000"/>
    <w:embedRegular r:id="rId3" w:fontKey="{665F27C8-A3D7-4835-A25F-873B5A0C0722}"/>
  </w:font>
  <w:font w:name="仿宋_GB2312">
    <w:panose1 w:val="02010609030101010101"/>
    <w:charset w:val="86"/>
    <w:family w:val="modern"/>
    <w:pitch w:val="default"/>
    <w:sig w:usb0="00000001" w:usb1="080E0000" w:usb2="00000000" w:usb3="00000000" w:csb0="00040000" w:csb1="00000000"/>
    <w:embedRegular r:id="rId4" w:fontKey="{1B960268-5560-49CE-9E9E-4D605E15F4B5}"/>
  </w:font>
  <w:font w:name="方正仿宋_GBK">
    <w:panose1 w:val="02000000000000000000"/>
    <w:charset w:val="86"/>
    <w:family w:val="script"/>
    <w:pitch w:val="default"/>
    <w:sig w:usb0="A00002BF" w:usb1="38CF7CFA" w:usb2="00082016" w:usb3="00000000" w:csb0="00040001" w:csb1="00000000"/>
    <w:embedRegular r:id="rId5" w:fontKey="{5CD26141-F561-4AC9-9451-55016DF78E9D}"/>
  </w:font>
  <w:font w:name="方正黑体_GBK">
    <w:panose1 w:val="03000509000000000000"/>
    <w:charset w:val="86"/>
    <w:family w:val="script"/>
    <w:pitch w:val="default"/>
    <w:sig w:usb0="00000001" w:usb1="080E0000" w:usb2="00000000" w:usb3="00000000" w:csb0="00040000" w:csb1="00000000"/>
    <w:embedRegular r:id="rId6" w:fontKey="{76541332-53D1-458B-9CC0-C5608211A374}"/>
  </w:font>
  <w:font w:name="方正书宋简体">
    <w:altName w:val="宋体"/>
    <w:panose1 w:val="02010601030101010101"/>
    <w:charset w:val="86"/>
    <w:family w:val="auto"/>
    <w:pitch w:val="default"/>
    <w:sig w:usb0="00000000" w:usb1="00000000" w:usb2="00000000" w:usb3="00000000" w:csb0="00040000" w:csb1="00000000"/>
    <w:embedRegular r:id="rId7" w:fontKey="{0B391F97-AAEF-4449-9669-D791757A8BD2}"/>
  </w:font>
  <w:font w:name="楷体_GB2312">
    <w:panose1 w:val="02010609030101010101"/>
    <w:charset w:val="86"/>
    <w:family w:val="modern"/>
    <w:pitch w:val="default"/>
    <w:sig w:usb0="00000001" w:usb1="080E0000" w:usb2="00000000" w:usb3="00000000" w:csb0="00040000" w:csb1="00000000"/>
    <w:embedRegular r:id="rId8" w:fontKey="{3992EEFB-E12A-49DB-B8AC-EC2826104547}"/>
  </w:font>
  <w:font w:name="微软雅黑">
    <w:panose1 w:val="020B0503020204020204"/>
    <w:charset w:val="86"/>
    <w:family w:val="auto"/>
    <w:pitch w:val="default"/>
    <w:sig w:usb0="80000287" w:usb1="2ACF3C50" w:usb2="00000016" w:usb3="00000000" w:csb0="0004001F" w:csb1="00000000"/>
    <w:embedRegular r:id="rId9" w:fontKey="{7DFE9AAC-99DB-4031-9B2C-952862DF0FF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20DF5775"/>
    <w:rsid w:val="31942669"/>
    <w:rsid w:val="34A34221"/>
    <w:rsid w:val="45360B1D"/>
    <w:rsid w:val="5B342F41"/>
    <w:rsid w:val="75FA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2023-10-29T04:16:00Z</dcterms:created>
  <dc:creator>Administrator</dc:creator>
  <cp:lastModifiedBy>淡定</cp:lastModifiedBy>
  <dcterms:modified xsi:type="dcterms:W3CDTF">2023-10-29T08:44:41Z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1E6D7381FCC44165A511CB508BFA406D_12</vt:lpwstr>
  </property>
</Properties>
</file>