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49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2" w:hRule="atLeast"/>
          <w:jc w:val="center"/>
        </w:trPr>
        <w:tc>
          <w:tcPr>
            <w:tcW w:w="5000" w:type="pct"/>
          </w:tcPr>
          <w:p>
            <w:pPr>
              <w:snapToGrid w:val="0"/>
              <w:spacing w:line="360" w:lineRule="auto"/>
              <w:ind w:firstLine="562" w:firstLineChars="200"/>
              <w:jc w:val="both"/>
              <w:rPr>
                <w:rFonts w:ascii="仿宋_GB2312" w:hAnsi="仿宋_GB2312" w:eastAsia="仿宋_GB2312" w:cs="仿宋_GB2312"/>
                <w:b/>
                <w:bCs/>
                <w:sz w:val="28"/>
                <w:szCs w:val="28"/>
              </w:rPr>
            </w:pPr>
          </w:p>
          <w:p>
            <w:pPr>
              <w:pStyle w:val="4"/>
            </w:pP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b/>
                <w:bCs/>
                <w:sz w:val="44"/>
                <w:szCs w:val="48"/>
              </w:rPr>
            </w:pPr>
            <w:r>
              <w:rPr>
                <w:rFonts w:hint="eastAsia" w:ascii="宋体" w:hAnsi="宋体" w:eastAsia="黑体"/>
                <w:b/>
                <w:bCs/>
                <w:sz w:val="44"/>
                <w:szCs w:val="48"/>
              </w:rPr>
              <w:t>会展经济与管理（专升本）专业考试计划</w:t>
            </w:r>
          </w:p>
          <w:p>
            <w:pPr>
              <w:pStyle w:val="2"/>
              <w:snapToGrid w:val="0"/>
              <w:spacing w:before="0" w:beforeAutospacing="0" w:afterAutospacing="0" w:line="360" w:lineRule="auto"/>
              <w:ind w:firstLine="720" w:firstLineChars="200"/>
              <w:rPr>
                <w:rFonts w:ascii="仿宋_GB2312" w:hAnsi="仿宋_GB2312" w:eastAsia="仿宋_GB2312" w:cs="仿宋_GB2312"/>
              </w:rPr>
            </w:pPr>
          </w:p>
          <w:p>
            <w:pPr>
              <w:pStyle w:val="4"/>
              <w:snapToGrid w:val="0"/>
              <w:spacing w:line="360" w:lineRule="auto"/>
              <w:ind w:firstLine="560" w:firstLineChars="200"/>
              <w:rPr>
                <w:rFonts w:ascii="仿宋_GB2312" w:hAnsi="仿宋_GB2312" w:eastAsia="仿宋_GB2312" w:cs="仿宋_GB2312"/>
                <w:sz w:val="28"/>
                <w:szCs w:val="28"/>
              </w:rPr>
            </w:pPr>
          </w:p>
          <w:p>
            <w:pPr>
              <w:pStyle w:val="4"/>
              <w:snapToGrid w:val="0"/>
              <w:spacing w:line="360" w:lineRule="auto"/>
              <w:ind w:firstLine="560" w:firstLineChars="200"/>
              <w:rPr>
                <w:rFonts w:ascii="仿宋_GB2312" w:hAnsi="仿宋_GB2312" w:eastAsia="仿宋_GB2312" w:cs="仿宋_GB2312"/>
                <w:sz w:val="28"/>
                <w:szCs w:val="28"/>
              </w:rPr>
            </w:pPr>
          </w:p>
          <w:p>
            <w:pPr>
              <w:pStyle w:val="4"/>
              <w:snapToGrid w:val="0"/>
              <w:spacing w:line="360" w:lineRule="auto"/>
              <w:ind w:firstLine="560" w:firstLineChars="200"/>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zh-CN"/>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主考学校：四川旅游学院</w:t>
            </w:r>
          </w:p>
          <w:p>
            <w:pPr>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4"/>
              <w:snapToGrid w:val="0"/>
              <w:spacing w:line="360" w:lineRule="auto"/>
              <w:ind w:firstLine="562" w:firstLineChars="200"/>
              <w:rPr>
                <w:rFonts w:ascii="仿宋_GB2312" w:hAnsi="仿宋_GB2312" w:eastAsia="仿宋_GB2312" w:cs="仿宋_GB2312"/>
                <w:b/>
                <w:bCs/>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2023年</w:t>
            </w:r>
            <w:r>
              <w:rPr>
                <w:rFonts w:hint="eastAsia" w:eastAsia="黑体" w:cs="方正仿宋_GBK"/>
                <w:kern w:val="0"/>
                <w:szCs w:val="22"/>
                <w:lang w:val="en-US"/>
              </w:rPr>
              <w:t>10</w:t>
            </w:r>
            <w:r>
              <w:rPr>
                <w:rFonts w:hint="eastAsia" w:eastAsia="黑体" w:cs="方正仿宋_GBK"/>
                <w:kern w:val="0"/>
                <w:szCs w:val="22"/>
                <w:lang w:val="zh-CN"/>
              </w:rPr>
              <w:t>月制定</w:t>
            </w:r>
          </w:p>
          <w:p>
            <w:pPr>
              <w:autoSpaceDE/>
              <w:autoSpaceDN/>
              <w:adjustRightInd w:val="0"/>
              <w:snapToGrid w:val="0"/>
              <w:spacing w:line="360" w:lineRule="auto"/>
              <w:ind w:firstLine="562" w:firstLineChars="200"/>
              <w:rPr>
                <w:rFonts w:ascii="仿宋_GB2312" w:hAnsi="仿宋_GB2312" w:eastAsia="仿宋_GB2312" w:cs="仿宋_GB2312"/>
                <w:b/>
                <w:color w:val="000000"/>
                <w:sz w:val="28"/>
                <w:szCs w:val="28"/>
              </w:rPr>
            </w:pP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以习近平新时代中国特色社会主义思想为指导，落实立德树人根本任务，细化落实《高等教育自学考试专业设置实施细则》要求，为适应我国社会主义市场经济与区域社会发展的需要，造就和选拔具有扎实理论知识基础和较高会展项目实务操作能力的会展行业应用型人才而设置的，在培养考生基本知识、基本理论和基本能力的基础上，结合高等教育自学考试的特点，着重考核考生对专业基础知识的掌握，以及运用所学知识分析、解决会展领域实际问题的能力。</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高等教育自学考试会展经济与管理（专升本）专业的学历层次为本科，学科门类为</w:t>
            </w:r>
            <w:r>
              <w:rPr>
                <w:rFonts w:hint="eastAsia" w:ascii="仿宋_GB2312" w:hAnsi="仿宋_GB2312" w:eastAsia="仿宋_GB2312" w:cs="仿宋_GB2312"/>
                <w:color w:val="000000"/>
                <w:sz w:val="28"/>
                <w:szCs w:val="28"/>
                <w:lang w:val="en-US"/>
              </w:rPr>
              <w:t>管理</w:t>
            </w:r>
            <w:r>
              <w:rPr>
                <w:rFonts w:hint="eastAsia" w:ascii="仿宋_GB2312" w:hAnsi="仿宋_GB2312" w:eastAsia="仿宋_GB2312" w:cs="仿宋_GB2312"/>
                <w:color w:val="000000"/>
                <w:sz w:val="28"/>
                <w:szCs w:val="28"/>
              </w:rPr>
              <w:t>学，专业类别为</w:t>
            </w:r>
            <w:r>
              <w:rPr>
                <w:rFonts w:hint="eastAsia" w:ascii="仿宋_GB2312" w:hAnsi="仿宋_GB2312" w:eastAsia="仿宋_GB2312" w:cs="仿宋_GB2312"/>
                <w:color w:val="000000"/>
                <w:sz w:val="28"/>
                <w:szCs w:val="28"/>
                <w:lang w:val="en-US"/>
              </w:rPr>
              <w:t>旅游管理</w:t>
            </w:r>
            <w:r>
              <w:rPr>
                <w:rFonts w:hint="eastAsia" w:ascii="仿宋_GB2312" w:hAnsi="仿宋_GB2312" w:eastAsia="仿宋_GB2312" w:cs="仿宋_GB2312"/>
                <w:color w:val="000000"/>
                <w:sz w:val="28"/>
                <w:szCs w:val="28"/>
              </w:rPr>
              <w:t>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本专业考试计划规定合格课程门数</w:t>
            </w:r>
            <w:r>
              <w:rPr>
                <w:rFonts w:ascii="仿宋_GB2312" w:hAnsi="仿宋_GB2312" w:eastAsia="仿宋_GB2312" w:cs="仿宋_GB2312"/>
                <w:color w:val="000000"/>
                <w:sz w:val="28"/>
                <w:szCs w:val="28"/>
                <w:lang w:val="en-US"/>
              </w:rPr>
              <w:t>14</w:t>
            </w:r>
            <w:r>
              <w:rPr>
                <w:rFonts w:hint="eastAsia" w:ascii="仿宋_GB2312" w:hAnsi="仿宋_GB2312" w:eastAsia="仿宋_GB2312" w:cs="仿宋_GB2312"/>
                <w:color w:val="000000"/>
                <w:sz w:val="28"/>
                <w:szCs w:val="28"/>
              </w:rPr>
              <w:t>门（其中考试课程相关的实践考核环节部分不单独计入课程总门数）</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总学分</w:t>
            </w:r>
            <w:r>
              <w:rPr>
                <w:rFonts w:ascii="仿宋_GB2312" w:hAnsi="仿宋_GB2312" w:eastAsia="仿宋_GB2312" w:cs="仿宋_GB2312"/>
                <w:color w:val="000000"/>
                <w:sz w:val="28"/>
                <w:szCs w:val="28"/>
              </w:rPr>
              <w:t>7</w:t>
            </w:r>
            <w:r>
              <w:rPr>
                <w:rFonts w:ascii="仿宋_GB2312" w:hAnsi="仿宋_GB2312" w:eastAsia="仿宋_GB2312" w:cs="仿宋_GB2312"/>
                <w:color w:val="000000"/>
                <w:sz w:val="28"/>
                <w:szCs w:val="28"/>
                <w:lang w:val="en-US"/>
              </w:rPr>
              <w:t>2</w:t>
            </w:r>
            <w:r>
              <w:rPr>
                <w:rFonts w:hint="eastAsia" w:ascii="仿宋_GB2312" w:hAnsi="仿宋_GB2312" w:eastAsia="仿宋_GB2312" w:cs="仿宋_GB2312"/>
                <w:color w:val="000000"/>
                <w:sz w:val="28"/>
                <w:szCs w:val="28"/>
              </w:rPr>
              <w:t>学分。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凡按照本专业考试计划的规定，取得相应课程合格成绩且达到规定学分要求，毕业环节和实践性环节考核合格，思想品德经鉴定符合要求者，经审核通过，由四川省高等教育招生</w:t>
            </w:r>
            <w:r>
              <w:rPr>
                <w:rFonts w:hint="eastAsia" w:ascii="仿宋_GB2312" w:hAnsi="仿宋_GB2312" w:eastAsia="仿宋_GB2312" w:cs="仿宋_GB2312"/>
                <w:color w:val="000000"/>
                <w:sz w:val="28"/>
                <w:szCs w:val="28"/>
                <w:lang w:eastAsia="zh-CN"/>
              </w:rPr>
              <w:t>考试委员会</w:t>
            </w:r>
            <w:r>
              <w:rPr>
                <w:rFonts w:hint="eastAsia" w:ascii="仿宋_GB2312" w:hAnsi="仿宋_GB2312" w:eastAsia="仿宋_GB2312" w:cs="仿宋_GB2312"/>
                <w:color w:val="000000"/>
                <w:sz w:val="28"/>
                <w:szCs w:val="28"/>
              </w:rPr>
              <w:t>颁发会展经济与管理（专升本）专业毕业证书，主考学校副署，国家承认学历。符合高等学历继续教育学士学位授予条件者，由主考学校按规定授予学士学位。</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较高的科学文化素养、职业道德水准、创新创业能力和社会责任感，适应社会和经济发展需要，具备会展经济与管理的基本理论、基本知识以及会展项目管理、会展市场调研、会展策划及组织实施的基本能力，能够在各类会展企业、旅游企业、大型工商企业以及</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政府行政部门从事会展活动的策划与组织管理等方面工作的专业技术及管理人才。</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掌握会展策划、组织与运营管理的基本理论、基本知识和基本技能，具备语言沟通和会展策划、管理的基本能力，具有会展项目管理、会展市场调研以及会议、展览、节事活动策划与组织实施的实际应用能力。主要包括：</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bookmarkStart w:id="0" w:name="_Hlk43905361"/>
            <w:r>
              <w:rPr>
                <w:rFonts w:hint="eastAsia" w:ascii="仿宋_GB2312" w:hAnsi="仿宋_GB2312" w:eastAsia="仿宋_GB2312" w:cs="仿宋_GB2312"/>
                <w:color w:val="000000"/>
                <w:sz w:val="28"/>
                <w:szCs w:val="28"/>
              </w:rPr>
              <w:t>掌握会展经济与管理的基本理论、基本知识</w:t>
            </w:r>
            <w:bookmarkEnd w:id="0"/>
            <w:r>
              <w:rPr>
                <w:rFonts w:hint="eastAsia" w:ascii="仿宋_GB2312" w:hAnsi="仿宋_GB2312" w:eastAsia="仿宋_GB2312" w:cs="仿宋_GB2312"/>
                <w:color w:val="000000"/>
                <w:sz w:val="28"/>
                <w:szCs w:val="28"/>
              </w:rPr>
              <w:t>；</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掌握会展客户关系管理、会展管理信息系统的操作方法与技能；</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具有会展项目管理、会展市场调研，以及会议、展览、节事等活动策划与组织实施的基本能力；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熟悉国内外会展业运作、管理的基本政策和法规；</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了解会展经济与管理的理论前沿、应用前景、发展动态、行业需求和国际趋势；</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具有一定的会展经济与管理科学研究和实际工作能力，满足会展行业的工作需求；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具备较好的人际交往和必要的外语沟通能力；</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具备对新知识、新技能的学习能力和一定的创新创业能力。</w:t>
            </w:r>
          </w:p>
          <w:p>
            <w:pPr>
              <w:autoSpaceDE/>
              <w:autoSpaceDN/>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autoSpaceDE/>
              <w:autoSpaceDN/>
              <w:adjustRightInd w:val="0"/>
              <w:snapToGrid w:val="0"/>
              <w:spacing w:line="360" w:lineRule="auto"/>
              <w:ind w:firstLine="562" w:firstLineChars="200"/>
              <w:jc w:val="left"/>
              <w:rPr>
                <w:rFonts w:ascii="仿宋_GB2312" w:hAnsi="仿宋_GB2312" w:eastAsia="仿宋_GB2312" w:cs="仿宋_GB2312"/>
                <w:b/>
                <w:bCs/>
                <w:sz w:val="28"/>
                <w:szCs w:val="28"/>
                <w:lang w:val="en-US"/>
              </w:rPr>
            </w:pPr>
            <w:r>
              <w:rPr>
                <w:rFonts w:hint="eastAsia" w:ascii="仿宋_GB2312" w:hAnsi="仿宋_GB2312" w:eastAsia="仿宋_GB2312" w:cs="仿宋_GB2312"/>
                <w:b/>
                <w:bCs/>
                <w:sz w:val="28"/>
                <w:szCs w:val="28"/>
              </w:rPr>
              <w:t>专业代码：</w:t>
            </w:r>
            <w:r>
              <w:rPr>
                <w:rFonts w:ascii="仿宋_GB2312" w:hAnsi="仿宋_GB2312" w:eastAsia="仿宋_GB2312" w:cs="仿宋_GB2312"/>
                <w:b/>
                <w:bCs/>
                <w:sz w:val="28"/>
                <w:szCs w:val="28"/>
              </w:rPr>
              <w:t>120903</w:t>
            </w:r>
          </w:p>
          <w:tbl>
            <w:tblPr>
              <w:tblStyle w:val="5"/>
              <w:tblW w:w="4997"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886"/>
              <w:gridCol w:w="862"/>
              <w:gridCol w:w="1161"/>
              <w:gridCol w:w="3467"/>
              <w:gridCol w:w="811"/>
              <w:gridCol w:w="928"/>
              <w:gridCol w:w="12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课程类别</w:t>
                  </w: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代码</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课程名称</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学分</w:t>
                  </w:r>
                </w:p>
              </w:tc>
              <w:tc>
                <w:tcPr>
                  <w:tcW w:w="49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考试</w:t>
                  </w:r>
                </w:p>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方式</w:t>
                  </w:r>
                </w:p>
              </w:tc>
              <w:tc>
                <w:tcPr>
                  <w:tcW w:w="66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公共</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基础</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03708</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中国近现代史纲要</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5"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03709</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马克思主义基本原理概论</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3</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13000</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英语（专升本）</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495"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业</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核</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b/>
                      <w:sz w:val="24"/>
                      <w:szCs w:val="24"/>
                    </w:rPr>
                    <w:t>课</w:t>
                  </w:r>
                </w:p>
                <w:p>
                  <w:pPr>
                    <w:pStyle w:val="4"/>
                    <w:snapToGrid w:val="0"/>
                    <w:ind w:firstLine="0"/>
                    <w:rPr>
                      <w:rFonts w:ascii="仿宋_GB2312" w:hAnsi="仿宋_GB2312" w:eastAsia="仿宋_GB2312" w:cs="仿宋_GB2312"/>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13887</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经济学原理（中级）</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13683</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管理学原理（中级）</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04184</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线性代数（经管类）</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03877</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会展项目管理</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8</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03872</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会展营销</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highlight w:val="green"/>
                    </w:rPr>
                  </w:pPr>
                  <w:r>
                    <w:rPr>
                      <w:rFonts w:ascii="仿宋_GB2312" w:hAnsi="仿宋_GB2312" w:eastAsia="仿宋_GB2312" w:cs="仿宋_GB2312"/>
                      <w:bCs/>
                      <w:sz w:val="24"/>
                      <w:szCs w:val="24"/>
                    </w:rPr>
                    <w:t>9</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08884</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会展经济学</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业</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拓</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展</w:t>
                  </w:r>
                </w:p>
                <w:p>
                  <w:pPr>
                    <w:snapToGrid w:val="0"/>
                    <w:rPr>
                      <w:rFonts w:ascii="仿宋_GB2312" w:hAnsi="仿宋_GB2312" w:eastAsia="仿宋_GB2312" w:cs="仿宋_GB2312"/>
                      <w:b/>
                      <w:sz w:val="24"/>
                      <w:szCs w:val="24"/>
                    </w:rPr>
                  </w:pPr>
                  <w:r>
                    <w:rPr>
                      <w:rFonts w:hint="eastAsia" w:ascii="仿宋_GB2312" w:hAnsi="仿宋_GB2312" w:eastAsia="仿宋_GB2312" w:cs="仿宋_GB2312"/>
                      <w:b/>
                      <w:sz w:val="24"/>
                      <w:szCs w:val="24"/>
                    </w:rPr>
                    <w:t>课</w:t>
                  </w:r>
                </w:p>
              </w:tc>
              <w:tc>
                <w:tcPr>
                  <w:tcW w:w="460" w:type="pct"/>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03595</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网络营销</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4</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lang w:val="en-U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vMerge w:val="continue"/>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03596</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网络营销（实践）</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vMerge w:val="restar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08725</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会展客户关系管理</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
                      <w:sz w:val="24"/>
                      <w:szCs w:val="24"/>
                    </w:rPr>
                  </w:pPr>
                </w:p>
              </w:tc>
              <w:tc>
                <w:tcPr>
                  <w:tcW w:w="460" w:type="pct"/>
                  <w:vMerge w:val="continue"/>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08726</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会展客户关系管理（实践）</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pct"/>
                  <w:tcBorders>
                    <w:top w:val="single" w:color="auto" w:sz="4"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03876</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会展策划</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13</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11031</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会展实务（实践）</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实践</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03878</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会议运营管理</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5</w:t>
                  </w:r>
                </w:p>
              </w:tc>
              <w:tc>
                <w:tcPr>
                  <w:tcW w:w="495" w:type="pct"/>
                  <w:tcBorders>
                    <w:top w:val="single" w:color="auto" w:sz="4"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笔试</w:t>
                  </w:r>
                </w:p>
              </w:tc>
              <w:tc>
                <w:tcPr>
                  <w:tcW w:w="66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08888</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会展企业战略管理</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6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sz w:val="24"/>
                      <w:szCs w:val="24"/>
                      <w:lang w:val="en-US"/>
                    </w:rPr>
                    <w:t>免考英语（专升本）替换课程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0" w:hRule="atLeast"/>
                <w:jc w:val="center"/>
              </w:trPr>
              <w:tc>
                <w:tcPr>
                  <w:tcW w:w="473"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62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08886</w:t>
                  </w:r>
                </w:p>
              </w:tc>
              <w:tc>
                <w:tcPr>
                  <w:tcW w:w="1852"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会展心理学</w:t>
                  </w:r>
                </w:p>
              </w:tc>
              <w:tc>
                <w:tcPr>
                  <w:tcW w:w="433"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6</w:t>
                  </w:r>
                </w:p>
              </w:tc>
              <w:tc>
                <w:tcPr>
                  <w:tcW w:w="49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hint="eastAsia" w:ascii="仿宋_GB2312" w:hAnsi="仿宋_GB2312" w:eastAsia="仿宋_GB2312" w:cs="仿宋_GB2312"/>
                      <w:bCs/>
                      <w:sz w:val="24"/>
                      <w:szCs w:val="24"/>
                      <w:lang w:val="en-US"/>
                    </w:rPr>
                    <w:t>笔试</w:t>
                  </w:r>
                </w:p>
              </w:tc>
              <w:tc>
                <w:tcPr>
                  <w:tcW w:w="665"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47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p>
              </w:tc>
              <w:tc>
                <w:tcPr>
                  <w:tcW w:w="460" w:type="pct"/>
                  <w:tcBorders>
                    <w:top w:val="single" w:color="000000" w:sz="2" w:space="0"/>
                    <w:left w:val="single" w:color="000000" w:sz="2" w:space="0"/>
                    <w:bottom w:val="single" w:color="000000" w:sz="2" w:space="0"/>
                    <w:right w:val="single" w:color="000000" w:sz="2" w:space="0"/>
                  </w:tcBorders>
                  <w:vAlign w:val="center"/>
                </w:tcPr>
                <w:p>
                  <w:pPr>
                    <w:adjustRightInd w:val="0"/>
                    <w:snapToGrid w:val="0"/>
                    <w:rPr>
                      <w:rFonts w:ascii="仿宋_GB2312" w:hAnsi="仿宋_GB2312" w:eastAsia="仿宋_GB2312" w:cs="仿宋_GB2312"/>
                      <w:bCs/>
                      <w:sz w:val="24"/>
                      <w:szCs w:val="24"/>
                      <w:lang w:val="en-US"/>
                    </w:rPr>
                  </w:pPr>
                  <w:r>
                    <w:rPr>
                      <w:rFonts w:ascii="仿宋_GB2312" w:hAnsi="仿宋_GB2312" w:eastAsia="仿宋_GB2312" w:cs="仿宋_GB2312"/>
                      <w:bCs/>
                      <w:sz w:val="24"/>
                      <w:szCs w:val="24"/>
                      <w:lang w:val="en-US"/>
                    </w:rPr>
                    <w:t>17</w:t>
                  </w:r>
                </w:p>
              </w:tc>
              <w:tc>
                <w:tcPr>
                  <w:tcW w:w="620"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00000</w:t>
                  </w:r>
                </w:p>
              </w:tc>
              <w:tc>
                <w:tcPr>
                  <w:tcW w:w="1852"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毕业考核（或论文</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综合实践</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实验</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实习等）</w:t>
                  </w:r>
                </w:p>
              </w:tc>
              <w:tc>
                <w:tcPr>
                  <w:tcW w:w="433" w:type="pct"/>
                  <w:tcBorders>
                    <w:top w:val="single" w:color="000000" w:sz="2" w:space="0"/>
                    <w:left w:val="single" w:color="000000" w:sz="2" w:space="0"/>
                    <w:bottom w:val="single" w:color="000000" w:sz="2" w:space="0"/>
                    <w:right w:val="single" w:color="000000" w:sz="2" w:space="0"/>
                  </w:tcBorders>
                  <w:vAlign w:val="center"/>
                </w:tcPr>
                <w:p>
                  <w:pPr>
                    <w:widowControl/>
                    <w:snapToGrid w:val="0"/>
                    <w:rPr>
                      <w:rFonts w:ascii="仿宋_GB2312" w:hAnsi="仿宋_GB2312" w:eastAsia="仿宋_GB2312" w:cs="仿宋_GB2312"/>
                      <w:sz w:val="24"/>
                      <w:szCs w:val="24"/>
                      <w:lang w:val="en-US"/>
                    </w:rPr>
                  </w:pPr>
                </w:p>
              </w:tc>
              <w:tc>
                <w:tcPr>
                  <w:tcW w:w="495" w:type="pct"/>
                  <w:tcBorders>
                    <w:top w:val="single" w:color="000000" w:sz="2" w:space="0"/>
                    <w:left w:val="single" w:color="000000" w:sz="2" w:space="0"/>
                    <w:bottom w:val="single" w:color="auto" w:sz="4" w:space="0"/>
                    <w:right w:val="single" w:color="000000" w:sz="2" w:space="0"/>
                  </w:tcBorders>
                  <w:vAlign w:val="center"/>
                </w:tcPr>
                <w:p>
                  <w:pPr>
                    <w:adjustRightInd w:val="0"/>
                    <w:snapToGrid w:val="0"/>
                    <w:rPr>
                      <w:rFonts w:ascii="仿宋_GB2312" w:hAnsi="仿宋_GB2312" w:eastAsia="仿宋_GB2312" w:cs="仿宋_GB2312"/>
                      <w:bCs/>
                      <w:sz w:val="24"/>
                      <w:szCs w:val="24"/>
                    </w:rPr>
                  </w:pPr>
                </w:p>
              </w:tc>
              <w:tc>
                <w:tcPr>
                  <w:tcW w:w="665"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bCs/>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283" w:hRule="atLeast"/>
                <w:jc w:val="center"/>
              </w:trPr>
              <w:tc>
                <w:tcPr>
                  <w:tcW w:w="3406" w:type="pct"/>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bCs/>
                      <w:sz w:val="24"/>
                      <w:szCs w:val="24"/>
                    </w:rPr>
                  </w:pPr>
                  <w:r>
                    <w:rPr>
                      <w:rFonts w:hint="eastAsia" w:ascii="仿宋_GB2312" w:hAnsi="仿宋_GB2312" w:eastAsia="仿宋_GB2312" w:cs="仿宋_GB2312"/>
                      <w:b/>
                      <w:sz w:val="24"/>
                      <w:szCs w:val="24"/>
                    </w:rPr>
                    <w:t>总学分</w:t>
                  </w:r>
                </w:p>
              </w:tc>
              <w:tc>
                <w:tcPr>
                  <w:tcW w:w="1593" w:type="pct"/>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bCs/>
                      <w:sz w:val="24"/>
                      <w:szCs w:val="24"/>
                    </w:rPr>
                  </w:pPr>
                  <w:r>
                    <w:rPr>
                      <w:rFonts w:ascii="仿宋_GB2312" w:hAnsi="仿宋_GB2312" w:eastAsia="仿宋_GB2312" w:cs="仿宋_GB2312"/>
                      <w:bCs/>
                      <w:sz w:val="24"/>
                      <w:szCs w:val="24"/>
                    </w:rPr>
                    <w:t>7</w:t>
                  </w:r>
                  <w:r>
                    <w:rPr>
                      <w:rFonts w:ascii="仿宋_GB2312" w:hAnsi="仿宋_GB2312" w:eastAsia="仿宋_GB2312" w:cs="仿宋_GB2312"/>
                      <w:bCs/>
                      <w:sz w:val="24"/>
                      <w:szCs w:val="24"/>
                      <w:lang w:val="en-US"/>
                    </w:rPr>
                    <w:t>2</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bCs/>
                <w:sz w:val="28"/>
                <w:szCs w:val="28"/>
              </w:rPr>
              <w:t>会展项目管理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利用项目管理的一般原理，结合会展项目的特点系统介绍会展项目管理的全过程和项目管理的方法，包括会展项目的分析、组织、计划、成本、进度、质量、风险、收尾管理等内容。通过学习本课程，使学生熟悉和掌握会展项目的流程和各个环节的工作内容、方法和常见的重难点问题，培养学生对会展项目管理进行控制和评估，以便保障会展项目正常有效运行等方面的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会展营销</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以满足消费者需求为中心的会展业市场营销活动的内容及其规律，包括会展市场分析、会展营销及服务系统设计、会展产品定价、招展与招商、会展项目的宣传推广等。通过学习本课程，使学生掌握会展营销的基本理论和营销策略，掌握不同类型的会展营销的方式和途径，了解不同利益主体开展活动的具体方法，更好地掌握会展营销相关操作技能。</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会展经济学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运用经济学分析方法，对会展及会展产业中的行为主体及其生产消费行为进行系统分析，考察会展产品、会展产品效用、会展产品需求、会展市场和产业组织行为等会展产业现象。通过学习本课程，使学生了解会展经济的理论和研究方法，培养和提高分析会展经济现象和活动的能力，以及揭示会展经济运动的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网络营销</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本课程主要内容为网络营销的相关知识，包括网络营销基础、</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网络营销分析、经典工具的营销方法、社群营销、短视频与直播营销、移动营销新模式、精准营销策略、电商平台营销和网络营销策划等。通过学习本课程，使学生熟悉网络营销的基础知识，能进行网络营销环境的分析，掌握网络营销战略的确定、利用网络资源开展网络营销以及对网络消费者分析的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会展客户关系管理</w:t>
            </w:r>
          </w:p>
          <w:p>
            <w:pPr>
              <w:snapToGrid w:val="0"/>
              <w:spacing w:line="360" w:lineRule="auto"/>
              <w:ind w:firstLine="560" w:firstLineChars="200"/>
              <w:jc w:val="left"/>
              <w:rPr>
                <w:rFonts w:ascii="仿宋_GB2312" w:hAnsi="仿宋_GB2312" w:eastAsia="仿宋_GB2312" w:cs="仿宋_GB2312"/>
                <w:color w:val="000000"/>
                <w:sz w:val="28"/>
                <w:szCs w:val="28"/>
                <w:highlight w:val="cyan"/>
              </w:rPr>
            </w:pPr>
            <w:r>
              <w:rPr>
                <w:rFonts w:hint="eastAsia" w:ascii="仿宋_GB2312" w:hAnsi="仿宋_GB2312" w:eastAsia="仿宋_GB2312" w:cs="仿宋_GB2312"/>
                <w:color w:val="000000"/>
                <w:sz w:val="28"/>
                <w:szCs w:val="28"/>
              </w:rPr>
              <w:t>本课程主要内容为客户关系管理的基本知识和理论，会展客户关系管理的应用策略和</w:t>
            </w:r>
            <w:r>
              <w:rPr>
                <w:rFonts w:ascii="仿宋_GB2312" w:hAnsi="仿宋_GB2312" w:eastAsia="仿宋_GB2312" w:cs="仿宋_GB2312"/>
                <w:color w:val="000000"/>
                <w:sz w:val="28"/>
                <w:szCs w:val="28"/>
              </w:rPr>
              <w:t>CRM</w:t>
            </w:r>
            <w:r>
              <w:rPr>
                <w:rFonts w:hint="eastAsia" w:ascii="仿宋_GB2312" w:hAnsi="仿宋_GB2312" w:eastAsia="仿宋_GB2312" w:cs="仿宋_GB2312"/>
                <w:color w:val="000000"/>
                <w:sz w:val="28"/>
                <w:szCs w:val="28"/>
              </w:rPr>
              <w:t>的系统结构和实施等。通过学习本课程，使学生提高分析和解决会展客户关系维护中的实际问题，掌握客户满意感管理、会展客户信任感、客户归属感管理等从事会展客户管理活动的能力。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会展策划</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会展策划的基本概念，会展策划的原则、会展策划的基本方法、创意方法、市场调研、会展项目立项与工作组织方案等。通过学习本课程，使学生掌握会展项目策划的相关理论知识，理解会展策划的工作流程和思维方式，具备会展项目策划的基本技能，熟练掌握会展项目策划的各种方法与技巧。</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会议运营管理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会议运营管理的发展历程、概念、研究对象和职能内容，包括会议产品的设计、会议运营流程设计、会议供应链管理、会议全面质量管理、会议物流管理、会议项目管理等。通过学习本课程，使学生从国际化的角度去思考会议运营管理的问题，了解会议运营工作的主要流程和工作内容，掌握会议活动必需的运营与管理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会展企业战略管理</w:t>
            </w:r>
          </w:p>
          <w:p>
            <w:pPr>
              <w:pStyle w:val="4"/>
              <w:autoSpaceDE/>
              <w:autoSpaceDN/>
              <w:snapToGrid w:val="0"/>
              <w:spacing w:line="360" w:lineRule="auto"/>
              <w:ind w:firstLine="560" w:firstLineChars="200"/>
              <w:jc w:val="left"/>
              <w:rPr>
                <w:rFonts w:ascii="仿宋_GB2312" w:hAnsi="仿宋_GB2312" w:eastAsia="仿宋_GB2312" w:cs="仿宋_GB2312"/>
                <w:color w:val="000000"/>
                <w:sz w:val="28"/>
                <w:szCs w:val="28"/>
                <w:lang w:val="en-US"/>
              </w:rPr>
            </w:pPr>
            <w:r>
              <w:rPr>
                <w:rFonts w:hint="eastAsia" w:ascii="仿宋_GB2312" w:hAnsi="仿宋_GB2312" w:eastAsia="仿宋_GB2312" w:cs="仿宋_GB2312"/>
                <w:color w:val="000000"/>
                <w:sz w:val="28"/>
                <w:szCs w:val="28"/>
              </w:rPr>
              <w:t>本课程主要内容为会展企业的经营管理体系，包括会展经济与会展企业、企业战略与战略管理、会展企业的环境分析、会展企业</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的竞争战略、会展企业的成长战略、会展企业的战略评价等。通过学习本课程，使学生能够从宏观管理层面对会展企业管理的基本知识和基本内容有系统性的了解，给学生未来在会展行业的职业发展扩展其知识面。</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9.</w:t>
            </w:r>
            <w:r>
              <w:rPr>
                <w:rFonts w:hint="eastAsia" w:ascii="仿宋_GB2312" w:hAnsi="仿宋_GB2312" w:eastAsia="仿宋_GB2312" w:cs="仿宋_GB2312"/>
                <w:color w:val="000000"/>
                <w:sz w:val="28"/>
                <w:szCs w:val="28"/>
              </w:rPr>
              <w:t>会展心理学</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课程主要内容为围绕会展行业的会展活动中，各个参与群体的心理现象，包括会展服务心理、会展服务阶段心理、会展商品销售服务心理以及会展管理心理等。通过学习本课程，使学生了解会展活动参与者的心理活动和项目对人们的心理影响，从而掌握与客户、领导、同事等各类群体进行交流沟通的技巧，提高其人际交往的能力。</w:t>
            </w:r>
          </w:p>
          <w:p>
            <w:pPr>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lang w:val="en-US"/>
              </w:rPr>
              <w:t>10</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全国统一命题考试课程（略）</w:t>
            </w:r>
            <w:r>
              <w:rPr>
                <w:rFonts w:hint="eastAsia" w:ascii="仿宋_GB2312" w:hAnsi="仿宋_GB2312" w:eastAsia="仿宋_GB2312" w:cs="仿宋_GB2312"/>
                <w:color w:val="000000"/>
                <w:sz w:val="28"/>
                <w:szCs w:val="28"/>
                <w:lang w:eastAsia="zh-CN"/>
              </w:rPr>
              <w:t>。</w:t>
            </w:r>
          </w:p>
          <w:p>
            <w:pPr>
              <w:snapToGrid w:val="0"/>
              <w:spacing w:line="360" w:lineRule="auto"/>
              <w:ind w:firstLine="560" w:firstLineChars="200"/>
              <w:jc w:val="left"/>
              <w:rPr>
                <w:rFonts w:hint="eastAsia" w:ascii="仿宋_GB2312" w:hAnsi="仿宋_GB2312" w:eastAsia="仿宋_GB2312" w:cs="仿宋_GB2312"/>
                <w:color w:val="000000"/>
                <w:sz w:val="28"/>
                <w:szCs w:val="28"/>
                <w:lang w:eastAsia="zh-CN"/>
              </w:rPr>
            </w:pPr>
            <w:r>
              <w:rPr>
                <w:rFonts w:ascii="仿宋_GB2312" w:hAnsi="仿宋_GB2312" w:eastAsia="仿宋_GB2312" w:cs="仿宋_GB2312"/>
                <w:color w:val="000000"/>
                <w:sz w:val="28"/>
                <w:szCs w:val="28"/>
                <w:lang w:val="en-US"/>
              </w:rPr>
              <w:t>11</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实践性学习环节课程（按主考学校要求执行）</w:t>
            </w:r>
            <w:r>
              <w:rPr>
                <w:rFonts w:hint="eastAsia" w:ascii="仿宋_GB2312" w:hAnsi="仿宋_GB2312" w:eastAsia="仿宋_GB2312" w:cs="仿宋_GB2312"/>
                <w:color w:val="000000"/>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六、实践性环节学习考核要求</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lang w:val="en-US"/>
              </w:rPr>
              <w:t>1.</w:t>
            </w:r>
            <w:r>
              <w:rPr>
                <w:rFonts w:hint="eastAsia" w:ascii="仿宋_GB2312" w:hAnsi="仿宋_GB2312" w:eastAsia="仿宋_GB2312" w:cs="仿宋_GB2312"/>
                <w:color w:val="000000"/>
                <w:sz w:val="28"/>
                <w:szCs w:val="28"/>
              </w:rPr>
              <w:t>含实践的课程及实践所占学分：会展客户关系管理</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学分；网络营销</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分；会展实务</w:t>
            </w: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分。</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毕业设计或毕业论文。</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旅游类专业专科毕业生均可直接报考本专业。</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其他专业专科毕业生也可报考本专业，但需要具管理学、经济学、会展管理等本专业所需的基础知识。</w:t>
            </w:r>
          </w:p>
          <w:p>
            <w:pPr>
              <w:autoSpaceDE/>
              <w:autoSpaceDN/>
              <w:snapToGrid w:val="0"/>
              <w:spacing w:line="360" w:lineRule="auto"/>
              <w:ind w:firstLine="560" w:firstLineChars="200"/>
              <w:rPr>
                <w:rFonts w:ascii="仿宋_GB2312" w:hAnsi="仿宋_GB2312" w:eastAsia="仿宋_GB2312" w:cs="仿宋_GB2312"/>
                <w:sz w:val="28"/>
                <w:szCs w:val="28"/>
                <w:lang w:val="en-US"/>
              </w:rPr>
            </w:pPr>
          </w:p>
          <w:p>
            <w:pPr>
              <w:snapToGrid w:val="0"/>
              <w:spacing w:line="360" w:lineRule="auto"/>
              <w:ind w:firstLine="562" w:firstLineChars="200"/>
              <w:rPr>
                <w:rFonts w:ascii="仿宋_GB2312" w:hAnsi="仿宋_GB2312" w:eastAsia="仿宋_GB2312" w:cs="仿宋_GB2312"/>
                <w:b/>
                <w:bCs/>
                <w:sz w:val="28"/>
                <w:szCs w:val="28"/>
              </w:rPr>
            </w:pPr>
          </w:p>
        </w:tc>
      </w:tr>
    </w:tbl>
    <w:p>
      <w:pPr>
        <w:pStyle w:val="2"/>
        <w:bidi w:val="0"/>
        <w:rPr>
          <w:rFonts w:hint="eastAsia" w:ascii="Times New Roman" w:hAnsi="Times New Roman"/>
          <w:lang w:val="en-US" w:eastAsia="zh-CN"/>
        </w:rPr>
      </w:pPr>
      <w:r>
        <w:rPr>
          <w:rFonts w:hint="eastAsia" w:ascii="Times New Roman" w:hAnsi="Times New Roman"/>
          <w:lang w:val="en-US" w:eastAsia="zh-CN"/>
        </w:rPr>
        <w:t>会展经济与管理（专升本）专业课程设置与学分</w:t>
      </w:r>
    </w:p>
    <w:p>
      <w:pPr>
        <w:pStyle w:val="4"/>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Times New Roman" w:hAnsi="Times New Roman" w:eastAsia="黑体" w:cs="黑体"/>
          <w:b w:val="0"/>
          <w:bCs w:val="0"/>
          <w:color w:val="auto"/>
          <w:kern w:val="0"/>
          <w:sz w:val="24"/>
          <w:szCs w:val="24"/>
          <w:lang w:val="en-US" w:eastAsia="zh-CN"/>
        </w:rPr>
      </w:pPr>
      <w:r>
        <w:rPr>
          <w:rFonts w:hint="eastAsia" w:ascii="Times New Roman" w:hAnsi="Times New Roman" w:eastAsia="黑体" w:cs="黑体"/>
          <w:b w:val="0"/>
          <w:bCs w:val="0"/>
          <w:color w:val="auto"/>
          <w:kern w:val="2"/>
          <w:sz w:val="24"/>
          <w:szCs w:val="24"/>
          <w:lang w:val="en-US" w:eastAsia="zh-CN" w:bidi="ar-SA"/>
        </w:rPr>
        <w:t>专业层次：专升本                             专业代码：120903</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32"/>
        <w:gridCol w:w="832"/>
        <w:gridCol w:w="4391"/>
        <w:gridCol w:w="832"/>
        <w:gridCol w:w="27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序号</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课码</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课程名称</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学分</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黑体" w:cs="黑体"/>
                <w:i w:val="0"/>
                <w:iCs w:val="0"/>
                <w:color w:val="auto"/>
                <w:sz w:val="18"/>
                <w:szCs w:val="18"/>
                <w:u w:val="none"/>
              </w:rPr>
            </w:pPr>
            <w:r>
              <w:rPr>
                <w:rFonts w:hint="eastAsia" w:ascii="Times New Roman" w:hAnsi="Times New Roman" w:eastAsia="黑体" w:cs="黑体"/>
                <w:i w:val="0"/>
                <w:iCs w:val="0"/>
                <w:color w:val="auto"/>
                <w:kern w:val="0"/>
                <w:sz w:val="18"/>
                <w:szCs w:val="18"/>
                <w:u w:val="none"/>
                <w:lang w:val="en-US" w:eastAsia="zh-CN"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03595</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网络营销</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03596</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网络营销（实践）</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03876</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会展策划</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3</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04184</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线性代数（经管类）</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13000</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7</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13683</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管理学原理（中级）</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13887</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经济学原理（中级）</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7</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03708</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8</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03709</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4</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9</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03872</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会展营销</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10</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03877</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会展项目管理</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11</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03878</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会议运营管理</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5</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12</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08725</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会展客户关系管理</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540" w:type="pct"/>
            <w:vMerge w:val="continue"/>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i w:val="0"/>
                <w:iCs w:val="0"/>
                <w:color w:val="auto"/>
                <w:sz w:val="18"/>
                <w:szCs w:val="18"/>
                <w:u w:val="none"/>
              </w:rPr>
            </w:pP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08726</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会展客户关系管理（实践）</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2</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13</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08884</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会展经济学</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14</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11031</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会展实务（实践）</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89" w:type="pct"/>
            <w:tcBorders>
              <w:tl2br w:val="nil"/>
              <w:tr2bl w:val="nil"/>
            </w:tcBorders>
            <w:shd w:val="clear" w:color="auto" w:fill="auto"/>
            <w:noWrap/>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15</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08886</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会展心理学</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89" w:type="pct"/>
            <w:vMerge w:val="restar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lang w:val="en-US"/>
              </w:rPr>
              <w:t>不考英语（</w:t>
            </w:r>
            <w:r>
              <w:rPr>
                <w:rFonts w:hint="eastAsia" w:ascii="Times New Roman" w:hAnsi="Times New Roman" w:eastAsia="宋体" w:cs="宋体"/>
                <w:color w:val="auto"/>
                <w:kern w:val="0"/>
                <w:sz w:val="18"/>
                <w:szCs w:val="18"/>
                <w:lang w:val="en-US" w:eastAsia="zh-CN"/>
              </w:rPr>
              <w:t>专升本</w:t>
            </w:r>
            <w:r>
              <w:rPr>
                <w:rFonts w:hint="eastAsia" w:ascii="Times New Roman" w:hAnsi="Times New Roman" w:eastAsia="宋体" w:cs="宋体"/>
                <w:color w:val="auto"/>
                <w:kern w:val="0"/>
                <w:sz w:val="18"/>
                <w:szCs w:val="18"/>
                <w:lang w:val="en-US"/>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16</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08888</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会展企业战略管理</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i w:val="0"/>
                <w:iCs w:val="0"/>
                <w:color w:val="auto"/>
                <w:kern w:val="0"/>
                <w:sz w:val="18"/>
                <w:szCs w:val="18"/>
                <w:u w:val="none"/>
                <w:lang w:val="en-US" w:eastAsia="zh-CN" w:bidi="ar"/>
              </w:rPr>
              <w:t>6</w:t>
            </w:r>
          </w:p>
        </w:tc>
        <w:tc>
          <w:tcPr>
            <w:tcW w:w="989" w:type="pct"/>
            <w:vMerge w:val="continue"/>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17</w:t>
            </w:r>
          </w:p>
        </w:tc>
        <w:tc>
          <w:tcPr>
            <w:tcW w:w="540"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00000</w:t>
            </w:r>
          </w:p>
        </w:tc>
        <w:tc>
          <w:tcPr>
            <w:tcW w:w="23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毕业考核（或论文\综合实践\实验\实习等）</w:t>
            </w:r>
          </w:p>
        </w:tc>
        <w:tc>
          <w:tcPr>
            <w:tcW w:w="540" w:type="pct"/>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10</w:t>
            </w:r>
          </w:p>
        </w:tc>
        <w:tc>
          <w:tcPr>
            <w:tcW w:w="989" w:type="pct"/>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sz w:val="18"/>
                <w:szCs w:val="18"/>
                <w:u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2" w:hRule="atLeast"/>
          <w:jc w:val="center"/>
        </w:trPr>
        <w:tc>
          <w:tcPr>
            <w:tcW w:w="1080" w:type="pct"/>
            <w:gridSpan w:val="2"/>
            <w:tcBorders>
              <w:tl2br w:val="nil"/>
              <w:tr2bl w:val="nil"/>
            </w:tcBorders>
            <w:shd w:val="clear" w:color="auto" w:fill="auto"/>
            <w:noWrap/>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rPr>
              <w:t>合     计</w:t>
            </w:r>
          </w:p>
        </w:tc>
        <w:tc>
          <w:tcPr>
            <w:tcW w:w="3919" w:type="pct"/>
            <w:gridSpan w:val="3"/>
            <w:tcBorders>
              <w:tl2br w:val="nil"/>
              <w:tr2bl w:val="nil"/>
            </w:tcBorders>
            <w:shd w:val="clear" w:color="auto" w:fill="auto"/>
            <w:noWrap/>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sz w:val="18"/>
                <w:szCs w:val="18"/>
                <w:u w:val="none"/>
              </w:rPr>
            </w:pPr>
            <w:r>
              <w:rPr>
                <w:rFonts w:hint="eastAsia" w:ascii="Times New Roman" w:hAnsi="Times New Roman" w:eastAsia="宋体" w:cs="宋体"/>
                <w:color w:val="auto"/>
                <w:kern w:val="0"/>
                <w:sz w:val="18"/>
                <w:szCs w:val="18"/>
              </w:rPr>
              <w:t>8</w:t>
            </w:r>
            <w:r>
              <w:rPr>
                <w:rFonts w:hint="eastAsia" w:ascii="Times New Roman" w:hAnsi="Times New Roman" w:eastAsia="宋体" w:cs="宋体"/>
                <w:color w:val="auto"/>
                <w:kern w:val="0"/>
                <w:sz w:val="18"/>
                <w:szCs w:val="18"/>
                <w:lang w:val="en-US" w:eastAsia="zh-CN"/>
              </w:rPr>
              <w:t>2</w:t>
            </w:r>
            <w:r>
              <w:rPr>
                <w:rFonts w:hint="eastAsia" w:ascii="Times New Roman" w:hAnsi="Times New Roman" w:eastAsia="宋体" w:cs="宋体"/>
                <w:color w:val="auto"/>
                <w:kern w:val="0"/>
                <w:sz w:val="18"/>
                <w:szCs w:val="18"/>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会展经济与管理（专升本）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0"/>
        <w:gridCol w:w="762"/>
        <w:gridCol w:w="2424"/>
        <w:gridCol w:w="639"/>
        <w:gridCol w:w="674"/>
        <w:gridCol w:w="705"/>
        <w:gridCol w:w="2474"/>
        <w:gridCol w:w="645"/>
        <w:gridCol w:w="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09"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default" w:ascii="Times New Roman" w:hAnsi="Times New Roman" w:eastAsia="黑体" w:cs="黑体"/>
                <w:color w:val="auto"/>
                <w:kern w:val="0"/>
                <w:sz w:val="18"/>
                <w:szCs w:val="18"/>
                <w:lang w:val="en-US" w:eastAsia="zh-CN"/>
              </w:rPr>
              <w:t>会展经济与管理（专升本），</w:t>
            </w:r>
            <w:r>
              <w:rPr>
                <w:rFonts w:hint="default" w:ascii="Times New Roman" w:hAnsi="Times New Roman" w:eastAsia="黑体" w:cs="Times New Roman"/>
                <w:color w:val="auto"/>
                <w:kern w:val="0"/>
                <w:sz w:val="18"/>
                <w:szCs w:val="18"/>
                <w:lang w:val="en-US" w:eastAsia="zh-CN"/>
              </w:rPr>
              <w:t>W</w:t>
            </w:r>
            <w:r>
              <w:rPr>
                <w:rFonts w:hint="default" w:ascii="Times New Roman" w:hAnsi="Times New Roman" w:eastAsia="黑体" w:cs="黑体"/>
                <w:color w:val="auto"/>
                <w:kern w:val="0"/>
                <w:sz w:val="18"/>
                <w:szCs w:val="18"/>
                <w:lang w:val="en-US" w:eastAsia="zh-CN"/>
              </w:rPr>
              <w:t>120903</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会展经济与管理</w:t>
            </w:r>
            <w:r>
              <w:rPr>
                <w:rFonts w:hint="default" w:ascii="Times New Roman" w:hAnsi="Times New Roman" w:eastAsia="黑体" w:cs="黑体"/>
                <w:color w:val="auto"/>
                <w:kern w:val="0"/>
                <w:sz w:val="18"/>
                <w:szCs w:val="18"/>
                <w:lang w:val="en-US" w:eastAsia="zh-CN"/>
              </w:rPr>
              <w:t>（专升本），</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120903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英语（专升本）</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英语（专升本）</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04184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线性代数（经管类）</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04184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线性代数（经管类）</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13887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经济学原理（中级）</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13887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经济学原理（中级）</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13683</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管理学原理（中级）</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13683</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管理学原理（中级）</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03877</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会展项目管理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03877</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会展项目管理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00908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网络营销与策划</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03595</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网络营销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00909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网络营销与策划（实践）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03596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Fonts w:hint="eastAsia" w:ascii="Times New Roman" w:hAnsi="Times New Roman" w:eastAsia="宋体" w:cs="宋体"/>
                <w:i w:val="0"/>
                <w:iCs w:val="0"/>
                <w:color w:val="auto"/>
                <w:kern w:val="0"/>
                <w:sz w:val="18"/>
                <w:szCs w:val="18"/>
                <w:u w:val="none"/>
                <w:lang w:val="en-US" w:eastAsia="zh-CN" w:bidi="ar"/>
              </w:rPr>
              <w:t>网络营销（实践）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08884</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会展经济学</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08884</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会展经济学</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10</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08725</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会展客户关系管理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08725</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会展客户关系管理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08726</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会展客户关系管理（实践）</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08726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会展客户关系管理（实践）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11</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03872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会展营销</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03872</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会展营销</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03878</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会议运营管理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03878</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会议运营管理</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14002</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旅游消费者行为</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03876</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u w:val="none"/>
                <w:lang w:val="en-US" w:eastAsia="zh-CN" w:bidi="ar-SA"/>
              </w:rPr>
            </w:pPr>
            <w:r>
              <w:rPr>
                <w:rStyle w:val="7"/>
                <w:rFonts w:hint="eastAsia" w:ascii="Times New Roman" w:hAnsi="Times New Roman" w:eastAsia="宋体" w:cs="宋体"/>
                <w:color w:val="auto"/>
                <w:sz w:val="18"/>
                <w:szCs w:val="18"/>
                <w:lang w:val="en-US" w:eastAsia="zh-CN" w:bidi="ar"/>
              </w:rPr>
              <w:t>会展策划</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2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08889</w:t>
            </w:r>
          </w:p>
        </w:tc>
        <w:tc>
          <w:tcPr>
            <w:tcW w:w="125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highlight w:val="none"/>
                <w:u w:val="none"/>
                <w:lang w:val="en-US" w:eastAsia="zh-CN" w:bidi="ar-SA"/>
              </w:rPr>
            </w:pPr>
            <w:r>
              <w:rPr>
                <w:rStyle w:val="7"/>
                <w:rFonts w:hint="eastAsia" w:ascii="Times New Roman" w:hAnsi="Times New Roman" w:eastAsia="宋体" w:cs="宋体"/>
                <w:color w:val="auto"/>
                <w:sz w:val="18"/>
                <w:szCs w:val="18"/>
                <w:highlight w:val="none"/>
                <w:lang w:val="en-US" w:eastAsia="zh-CN" w:bidi="ar"/>
              </w:rPr>
              <w:t>会议酒店管理</w:t>
            </w:r>
          </w:p>
        </w:tc>
        <w:tc>
          <w:tcPr>
            <w:tcW w:w="32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11031</w:t>
            </w:r>
          </w:p>
        </w:tc>
        <w:tc>
          <w:tcPr>
            <w:tcW w:w="128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2"/>
                <w:sz w:val="18"/>
                <w:szCs w:val="18"/>
                <w:highlight w:val="none"/>
                <w:u w:val="none"/>
                <w:lang w:val="en-US" w:eastAsia="zh-CN" w:bidi="ar-SA"/>
              </w:rPr>
            </w:pPr>
            <w:r>
              <w:rPr>
                <w:rStyle w:val="7"/>
                <w:rFonts w:hint="eastAsia" w:ascii="Times New Roman" w:hAnsi="Times New Roman" w:eastAsia="宋体" w:cs="宋体"/>
                <w:color w:val="auto"/>
                <w:sz w:val="18"/>
                <w:szCs w:val="18"/>
                <w:highlight w:val="none"/>
                <w:lang w:val="en-US" w:eastAsia="zh-CN" w:bidi="ar"/>
              </w:rPr>
              <w:t>会展实务（实践）</w:t>
            </w:r>
          </w:p>
        </w:tc>
        <w:tc>
          <w:tcPr>
            <w:tcW w:w="33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247" w:right="1247" w:bottom="1247" w:left="1247"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会展经济与管理（专升本）专业教材明细表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3"/>
        <w:gridCol w:w="1927"/>
        <w:gridCol w:w="971"/>
        <w:gridCol w:w="863"/>
        <w:gridCol w:w="2219"/>
        <w:gridCol w:w="2440"/>
        <w:gridCol w:w="1726"/>
        <w:gridCol w:w="2058"/>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03595</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黄敏学、朱华伟等</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03596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网络营销（实践）</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03876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会展策划</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会展策划</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张凡</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华中科技大学出版社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2019年修订版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04184</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线性代数（经管类）</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刘吉佑、刘志学</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13683</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管理学原理（中级）</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白瑷峥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13887</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经济学原理（中级）</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于春海</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中国人民大学出版社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03872</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会展营销</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会展营销教程</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庾为</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首都经济贸易大学出版社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03877</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会展项目管理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会展项目管理理论、方法与实践</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江金波</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2020年第二版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03878</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会议运营管理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会议运营管理</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武少源、肖庆国</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中国商务出版社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08725</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会展客户关系管理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客户关系管理</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客户关系的建立与维护</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苏朝晖</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08726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会展客户关系管理（实践）</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08884</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会展经济学</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王承云</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11031</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会展实务（实践）</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08886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会展心理学</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会展心理</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谢苏、李俊、蒋永业</w:t>
            </w:r>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2022年第三版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120903</w:t>
            </w:r>
          </w:p>
        </w:tc>
        <w:tc>
          <w:tcPr>
            <w:tcW w:w="6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会展经济与管理</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08888</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会展企业战略管理</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企业战略管理</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丁宁</w:t>
            </w:r>
            <w:bookmarkStart w:id="1" w:name="_GoBack"/>
            <w:bookmarkEnd w:id="1"/>
          </w:p>
        </w:tc>
        <w:tc>
          <w:tcPr>
            <w:tcW w:w="7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2019年第4版</w:t>
            </w:r>
          </w:p>
        </w:tc>
      </w:tr>
    </w:tbl>
    <w:p/>
    <w:sectPr>
      <w:pgSz w:w="16838" w:h="11906" w:orient="landscape"/>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23B25F5"/>
    <w:rsid w:val="1B0C5023"/>
    <w:rsid w:val="7FEA5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character" w:customStyle="1" w:styleId="7">
    <w:name w:val="font11"/>
    <w:basedOn w:val="6"/>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2023-10-29T06:20:00Z</dcterms:created>
  <dc:creator>Administrator</dc:creator>
  <cp:lastModifiedBy>HANNAH</cp:lastModifiedBy>
  <dcterms:modified xsi:type="dcterms:W3CDTF">2023-10-29T07:48:41Z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7C2329C95D79413B9F6F5178743CC323_12</vt:lpwstr>
  </property>
</Properties>
</file>